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943492794"/>
        <w:docPartObj>
          <w:docPartGallery w:val="Cover Pages"/>
          <w:docPartUnique/>
        </w:docPartObj>
      </w:sdtPr>
      <w:sdtEndPr>
        <w:rPr>
          <w:rFonts w:asciiTheme="minorHAnsi" w:eastAsiaTheme="minorHAnsi" w:hAnsiTheme="minorHAnsi" w:cstheme="minorBidi"/>
          <w:b/>
          <w:bCs/>
          <w:caps w:val="0"/>
          <w:sz w:val="27"/>
          <w:szCs w:val="27"/>
        </w:rPr>
      </w:sdtEndPr>
      <w:sdtContent>
        <w:tbl>
          <w:tblPr>
            <w:tblW w:w="5000" w:type="pct"/>
            <w:jc w:val="center"/>
            <w:tblLook w:val="04A0" w:firstRow="1" w:lastRow="0" w:firstColumn="1" w:lastColumn="0" w:noHBand="0" w:noVBand="1"/>
          </w:tblPr>
          <w:tblGrid>
            <w:gridCol w:w="9242"/>
          </w:tblGrid>
          <w:tr w:rsidR="00391CCB">
            <w:trPr>
              <w:trHeight w:val="2880"/>
              <w:jc w:val="center"/>
            </w:trPr>
            <w:tc>
              <w:tcPr>
                <w:tcW w:w="5000" w:type="pct"/>
              </w:tcPr>
              <w:p w:rsidR="00391CCB" w:rsidRDefault="00391CCB" w:rsidP="00391CCB">
                <w:pPr>
                  <w:pStyle w:val="NoSpacing"/>
                  <w:jc w:val="center"/>
                  <w:rPr>
                    <w:rFonts w:asciiTheme="majorHAnsi" w:eastAsiaTheme="majorEastAsia" w:hAnsiTheme="majorHAnsi" w:cstheme="majorBidi"/>
                    <w:caps/>
                  </w:rPr>
                </w:pPr>
              </w:p>
            </w:tc>
          </w:tr>
          <w:tr w:rsidR="00391CC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91CCB" w:rsidRDefault="008C3B97" w:rsidP="008C3B9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MCRG</w:t>
                    </w:r>
                    <w:r w:rsidR="00391CCB" w:rsidRPr="00391CCB">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 xml:space="preserve">Outline Financial </w:t>
                    </w:r>
                    <w:r w:rsidR="00391CCB" w:rsidRPr="00391CCB">
                      <w:rPr>
                        <w:rFonts w:asciiTheme="majorHAnsi" w:eastAsiaTheme="majorEastAsia" w:hAnsiTheme="majorHAnsi" w:cstheme="majorBidi"/>
                        <w:sz w:val="80"/>
                        <w:szCs w:val="80"/>
                      </w:rPr>
                      <w:t>Sustainability</w:t>
                    </w:r>
                    <w:r>
                      <w:rPr>
                        <w:rFonts w:asciiTheme="majorHAnsi" w:eastAsiaTheme="majorEastAsia" w:hAnsiTheme="majorHAnsi" w:cstheme="majorBidi"/>
                        <w:sz w:val="80"/>
                        <w:szCs w:val="80"/>
                      </w:rPr>
                      <w:t xml:space="preserve"> Plans</w:t>
                    </w:r>
                    <w:r w:rsidR="00C75D8B">
                      <w:rPr>
                        <w:rFonts w:asciiTheme="majorHAnsi" w:eastAsiaTheme="majorEastAsia" w:hAnsiTheme="majorHAnsi" w:cstheme="majorBidi"/>
                        <w:sz w:val="80"/>
                        <w:szCs w:val="80"/>
                      </w:rPr>
                      <w:t xml:space="preserve"> and Funding Strategy</w:t>
                    </w:r>
                  </w:p>
                </w:tc>
              </w:sdtContent>
            </w:sdt>
          </w:tr>
          <w:tr w:rsidR="00391CCB">
            <w:trPr>
              <w:trHeight w:val="720"/>
              <w:jc w:val="center"/>
            </w:trPr>
            <w:tc>
              <w:tcPr>
                <w:tcW w:w="5000" w:type="pct"/>
                <w:tcBorders>
                  <w:top w:val="single" w:sz="4" w:space="0" w:color="4F81BD" w:themeColor="accent1"/>
                </w:tcBorders>
                <w:vAlign w:val="center"/>
              </w:tcPr>
              <w:p w:rsidR="00391CCB" w:rsidRDefault="00391CCB"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p w:rsidR="007358D8" w:rsidRDefault="007358D8" w:rsidP="00391CCB">
                <w:pPr>
                  <w:pStyle w:val="NoSpacing"/>
                  <w:jc w:val="center"/>
                  <w:rPr>
                    <w:rFonts w:asciiTheme="majorHAnsi" w:eastAsiaTheme="majorEastAsia" w:hAnsiTheme="majorHAnsi" w:cstheme="majorBidi"/>
                    <w:sz w:val="44"/>
                    <w:szCs w:val="44"/>
                  </w:rPr>
                </w:pPr>
              </w:p>
            </w:tc>
          </w:tr>
          <w:tr w:rsidR="00391CCB">
            <w:trPr>
              <w:trHeight w:val="360"/>
              <w:jc w:val="center"/>
            </w:trPr>
            <w:tc>
              <w:tcPr>
                <w:tcW w:w="5000" w:type="pct"/>
                <w:vAlign w:val="center"/>
              </w:tcPr>
              <w:p w:rsidR="00391CCB" w:rsidRPr="007358D8" w:rsidRDefault="00391CCB">
                <w:pPr>
                  <w:pStyle w:val="NoSpacing"/>
                  <w:jc w:val="center"/>
                  <w:rPr>
                    <w:sz w:val="52"/>
                    <w:szCs w:val="52"/>
                  </w:rPr>
                </w:pPr>
              </w:p>
            </w:tc>
          </w:tr>
          <w:tr w:rsidR="00391CCB">
            <w:trPr>
              <w:trHeight w:val="360"/>
              <w:jc w:val="center"/>
            </w:trPr>
            <w:tc>
              <w:tcPr>
                <w:tcW w:w="5000" w:type="pct"/>
                <w:vAlign w:val="center"/>
              </w:tcPr>
              <w:p w:rsidR="00391CCB" w:rsidRPr="007358D8" w:rsidRDefault="007358D8" w:rsidP="00391CCB">
                <w:pPr>
                  <w:pStyle w:val="NoSpacing"/>
                  <w:jc w:val="center"/>
                  <w:rPr>
                    <w:rFonts w:asciiTheme="majorHAnsi" w:hAnsiTheme="majorHAnsi"/>
                    <w:bCs/>
                    <w:sz w:val="52"/>
                    <w:szCs w:val="52"/>
                  </w:rPr>
                </w:pPr>
                <w:r w:rsidRPr="007358D8">
                  <w:rPr>
                    <w:rFonts w:asciiTheme="majorHAnsi" w:hAnsiTheme="majorHAnsi"/>
                    <w:bCs/>
                    <w:sz w:val="52"/>
                    <w:szCs w:val="52"/>
                  </w:rPr>
                  <w:t xml:space="preserve">Supporting Information for MCRG’s CAT Transfer Application to Angus Council </w:t>
                </w:r>
              </w:p>
            </w:tc>
          </w:tr>
        </w:tbl>
        <w:p w:rsidR="00391CCB" w:rsidRDefault="00133EBD">
          <w:pPr>
            <w:rPr>
              <w:sz w:val="27"/>
              <w:szCs w:val="27"/>
            </w:rPr>
          </w:pPr>
        </w:p>
      </w:sdtContent>
    </w:sdt>
    <w:sdt>
      <w:sdtPr>
        <w:rPr>
          <w:rFonts w:asciiTheme="minorHAnsi" w:eastAsiaTheme="minorHAnsi" w:hAnsiTheme="minorHAnsi" w:cstheme="minorBidi"/>
          <w:b w:val="0"/>
          <w:bCs w:val="0"/>
          <w:color w:val="auto"/>
          <w:sz w:val="22"/>
          <w:szCs w:val="22"/>
          <w:lang w:val="en-GB" w:eastAsia="en-US"/>
        </w:rPr>
        <w:id w:val="-1592152355"/>
        <w:docPartObj>
          <w:docPartGallery w:val="Table of Contents"/>
          <w:docPartUnique/>
        </w:docPartObj>
      </w:sdtPr>
      <w:sdtEndPr>
        <w:rPr>
          <w:noProof/>
        </w:rPr>
      </w:sdtEndPr>
      <w:sdtContent>
        <w:p w:rsidR="00391CCB" w:rsidRDefault="00391CCB">
          <w:pPr>
            <w:pStyle w:val="TOCHeading"/>
          </w:pPr>
          <w:r>
            <w:t>Contents</w:t>
          </w:r>
        </w:p>
        <w:p w:rsidR="00533EA7" w:rsidRPr="00533EA7" w:rsidRDefault="00391CCB">
          <w:pPr>
            <w:pStyle w:val="TOC2"/>
            <w:tabs>
              <w:tab w:val="right" w:leader="dot" w:pos="9016"/>
            </w:tabs>
            <w:rPr>
              <w:rFonts w:eastAsiaTheme="minorEastAsia" w:cstheme="minorHAnsi"/>
              <w:noProof/>
              <w:lang w:eastAsia="en-GB"/>
            </w:rPr>
          </w:pPr>
          <w:r w:rsidRPr="002426FF">
            <w:rPr>
              <w:rFonts w:cstheme="minorHAnsi"/>
            </w:rPr>
            <w:fldChar w:fldCharType="begin"/>
          </w:r>
          <w:r w:rsidRPr="002426FF">
            <w:rPr>
              <w:rFonts w:cstheme="minorHAnsi"/>
            </w:rPr>
            <w:instrText xml:space="preserve"> TOC \o "1-3" \h \z \u </w:instrText>
          </w:r>
          <w:r w:rsidRPr="002426FF">
            <w:rPr>
              <w:rFonts w:cstheme="minorHAnsi"/>
            </w:rPr>
            <w:fldChar w:fldCharType="separate"/>
          </w:r>
          <w:hyperlink w:anchor="_Toc493491709" w:history="1">
            <w:r w:rsidR="00533EA7" w:rsidRPr="00533EA7">
              <w:rPr>
                <w:rStyle w:val="Hyperlink"/>
                <w:rFonts w:cstheme="minorHAnsi"/>
                <w:noProof/>
              </w:rPr>
              <w:t>Assumptions for Income Projections</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_Toc493491709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2</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0" w:history="1">
            <w:r w:rsidR="00533EA7" w:rsidRPr="00533EA7">
              <w:rPr>
                <w:rStyle w:val="Hyperlink"/>
                <w:rFonts w:cstheme="minorHAnsi"/>
                <w:noProof/>
              </w:rPr>
              <w:t>Sports Hall</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_Toc493491710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2</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1" w:history="1">
            <w:r w:rsidR="00533EA7" w:rsidRPr="00533EA7">
              <w:rPr>
                <w:rStyle w:val="Hyperlink"/>
                <w:rFonts w:cstheme="minorHAnsi"/>
                <w:noProof/>
              </w:rPr>
              <w:t>Fitness Suite</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_Toc493491711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2</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2" w:history="1">
            <w:r w:rsidR="00533EA7" w:rsidRPr="00533EA7">
              <w:rPr>
                <w:rStyle w:val="Hyperlink"/>
                <w:rFonts w:cstheme="minorHAnsi"/>
                <w:noProof/>
              </w:rPr>
              <w:t>Activity Hall 1</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_Toc493491712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3</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3" w:history="1">
            <w:r w:rsidR="00533EA7" w:rsidRPr="00533EA7">
              <w:rPr>
                <w:rStyle w:val="Hyperlink"/>
                <w:rFonts w:cstheme="minorHAnsi"/>
                <w:noProof/>
              </w:rPr>
              <w:t>Meeting Room</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_Toc493491713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3</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4" w:history="1">
            <w:r w:rsidR="00533EA7" w:rsidRPr="00533EA7">
              <w:rPr>
                <w:rStyle w:val="Hyperlink"/>
                <w:rFonts w:cstheme="minorHAnsi"/>
                <w:noProof/>
              </w:rPr>
              <w:t>Multifunctional Workshop and Exercise Space</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_Toc493491714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3</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5" w:history="1">
            <w:r w:rsidR="00533EA7" w:rsidRPr="00533EA7">
              <w:rPr>
                <w:rStyle w:val="Hyperlink"/>
                <w:rFonts w:cstheme="minorHAnsi"/>
                <w:noProof/>
              </w:rPr>
              <w:t>Centre Café and Children’s Soft Play Area</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_Toc493491715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3</w:t>
            </w:r>
            <w:r w:rsidR="00533EA7" w:rsidRPr="00533EA7">
              <w:rPr>
                <w:rFonts w:cstheme="minorHAnsi"/>
                <w:noProof/>
                <w:webHidden/>
              </w:rPr>
              <w:fldChar w:fldCharType="end"/>
            </w:r>
          </w:hyperlink>
        </w:p>
        <w:p w:rsidR="00533EA7" w:rsidRPr="00533EA7" w:rsidRDefault="00133EBD">
          <w:pPr>
            <w:pStyle w:val="TOC3"/>
            <w:tabs>
              <w:tab w:val="right" w:leader="dot" w:pos="9016"/>
            </w:tabs>
            <w:rPr>
              <w:rFonts w:eastAsiaTheme="minorEastAsia" w:cstheme="minorHAnsi"/>
              <w:noProof/>
              <w:lang w:eastAsia="en-GB"/>
            </w:rPr>
          </w:pPr>
          <w:hyperlink w:anchor="_Toc493491716" w:history="1">
            <w:r w:rsidR="00533EA7" w:rsidRPr="00533EA7">
              <w:rPr>
                <w:rStyle w:val="Hyperlink"/>
                <w:rFonts w:cstheme="minorHAnsi"/>
                <w:noProof/>
              </w:rPr>
              <w:t>External Buildings</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_Toc493491716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4</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17" w:history="1">
            <w:r w:rsidR="00533EA7" w:rsidRPr="00533EA7">
              <w:rPr>
                <w:rStyle w:val="Hyperlink"/>
                <w:rFonts w:cstheme="minorHAnsi"/>
                <w:noProof/>
              </w:rPr>
              <w:t>Projected Centre Expenditure</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_Toc493491717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5</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18" w:history="1">
            <w:r w:rsidR="00533EA7" w:rsidRPr="00533EA7">
              <w:rPr>
                <w:rStyle w:val="Hyperlink"/>
                <w:rFonts w:cstheme="minorHAnsi"/>
                <w:noProof/>
              </w:rPr>
              <w:t>Staffing Structure</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_Toc493491718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5</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19" w:history="1">
            <w:r w:rsidR="00533EA7" w:rsidRPr="00533EA7">
              <w:rPr>
                <w:rStyle w:val="Hyperlink"/>
                <w:rFonts w:cstheme="minorHAnsi"/>
                <w:noProof/>
              </w:rPr>
              <w:t>Financial Projections 2017-2020</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_Toc493491719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7</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20" w:history="1">
            <w:r w:rsidR="00533EA7" w:rsidRPr="00533EA7">
              <w:rPr>
                <w:rStyle w:val="Hyperlink"/>
                <w:rFonts w:cstheme="minorHAnsi"/>
                <w:noProof/>
              </w:rPr>
              <w:t>A Review of the Centre’s Financial Sustainability</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_Toc493491720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8</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21" w:history="1">
            <w:r w:rsidR="00533EA7" w:rsidRPr="00533EA7">
              <w:rPr>
                <w:rStyle w:val="Hyperlink"/>
                <w:rFonts w:eastAsiaTheme="majorEastAsia" w:cstheme="minorHAnsi"/>
                <w:bCs/>
                <w:noProof/>
              </w:rPr>
              <w:t>MCRG Funding Strategy and Funding Opportunities</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_Toc493491721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9</w:t>
            </w:r>
            <w:r w:rsidR="00533EA7" w:rsidRPr="00533EA7">
              <w:rPr>
                <w:rFonts w:cstheme="minorHAnsi"/>
                <w:noProof/>
                <w:webHidden/>
              </w:rPr>
              <w:fldChar w:fldCharType="end"/>
            </w:r>
          </w:hyperlink>
        </w:p>
        <w:p w:rsidR="00533EA7" w:rsidRPr="00533EA7" w:rsidRDefault="00133EBD">
          <w:pPr>
            <w:pStyle w:val="TOC2"/>
            <w:tabs>
              <w:tab w:val="right" w:leader="dot" w:pos="9016"/>
            </w:tabs>
            <w:rPr>
              <w:rFonts w:eastAsiaTheme="minorEastAsia" w:cstheme="minorHAnsi"/>
              <w:noProof/>
              <w:lang w:eastAsia="en-GB"/>
            </w:rPr>
          </w:pPr>
          <w:hyperlink w:anchor="_Toc493491722" w:history="1">
            <w:r w:rsidR="00533EA7" w:rsidRPr="00533EA7">
              <w:rPr>
                <w:rStyle w:val="Hyperlink"/>
                <w:rFonts w:eastAsiaTheme="majorEastAsia" w:cstheme="minorHAnsi"/>
                <w:bCs/>
                <w:noProof/>
              </w:rPr>
              <w:t>Funding the Capital Refurbishment Programme</w:t>
            </w:r>
            <w:r w:rsidR="00533EA7" w:rsidRPr="00533EA7">
              <w:rPr>
                <w:rFonts w:cstheme="minorHAnsi"/>
                <w:noProof/>
                <w:webHidden/>
              </w:rPr>
              <w:tab/>
            </w:r>
            <w:r w:rsidR="00533EA7" w:rsidRPr="00533EA7">
              <w:rPr>
                <w:rFonts w:cstheme="minorHAnsi"/>
                <w:noProof/>
                <w:webHidden/>
              </w:rPr>
              <w:fldChar w:fldCharType="begin"/>
            </w:r>
            <w:r w:rsidR="00533EA7" w:rsidRPr="00533EA7">
              <w:rPr>
                <w:rFonts w:cstheme="minorHAnsi"/>
                <w:noProof/>
                <w:webHidden/>
              </w:rPr>
              <w:instrText xml:space="preserve"> PAGEREF _Toc493491722 \h </w:instrText>
            </w:r>
            <w:r w:rsidR="00533EA7" w:rsidRPr="00533EA7">
              <w:rPr>
                <w:rFonts w:cstheme="minorHAnsi"/>
                <w:noProof/>
                <w:webHidden/>
              </w:rPr>
            </w:r>
            <w:r w:rsidR="00533EA7" w:rsidRPr="00533EA7">
              <w:rPr>
                <w:rFonts w:cstheme="minorHAnsi"/>
                <w:noProof/>
                <w:webHidden/>
              </w:rPr>
              <w:fldChar w:fldCharType="separate"/>
            </w:r>
            <w:r w:rsidR="00533EA7" w:rsidRPr="00533EA7">
              <w:rPr>
                <w:rFonts w:cstheme="minorHAnsi"/>
                <w:noProof/>
                <w:webHidden/>
              </w:rPr>
              <w:t>9</w:t>
            </w:r>
            <w:r w:rsidR="00533EA7" w:rsidRPr="00533EA7">
              <w:rPr>
                <w:rFonts w:cstheme="minorHAnsi"/>
                <w:noProof/>
                <w:webHidden/>
              </w:rPr>
              <w:fldChar w:fldCharType="end"/>
            </w:r>
          </w:hyperlink>
        </w:p>
        <w:p w:rsidR="00533EA7" w:rsidRDefault="00133EBD">
          <w:pPr>
            <w:pStyle w:val="TOC2"/>
            <w:tabs>
              <w:tab w:val="right" w:leader="dot" w:pos="9016"/>
            </w:tabs>
            <w:rPr>
              <w:rFonts w:eastAsiaTheme="minorEastAsia"/>
              <w:noProof/>
              <w:lang w:eastAsia="en-GB"/>
            </w:rPr>
          </w:pPr>
          <w:hyperlink w:anchor="_Toc493491723" w:history="1">
            <w:r w:rsidR="00533EA7" w:rsidRPr="00AE5785">
              <w:rPr>
                <w:rStyle w:val="Hyperlink"/>
                <w:noProof/>
              </w:rPr>
              <w:t>Ongoing Revenue Funding</w:t>
            </w:r>
            <w:r w:rsidR="00533EA7">
              <w:rPr>
                <w:noProof/>
                <w:webHidden/>
              </w:rPr>
              <w:tab/>
            </w:r>
            <w:r w:rsidR="00533EA7">
              <w:rPr>
                <w:noProof/>
                <w:webHidden/>
              </w:rPr>
              <w:fldChar w:fldCharType="begin"/>
            </w:r>
            <w:r w:rsidR="00533EA7">
              <w:rPr>
                <w:noProof/>
                <w:webHidden/>
              </w:rPr>
              <w:instrText xml:space="preserve"> PAGEREF _Toc493491723 \h </w:instrText>
            </w:r>
            <w:r w:rsidR="00533EA7">
              <w:rPr>
                <w:noProof/>
                <w:webHidden/>
              </w:rPr>
            </w:r>
            <w:r w:rsidR="00533EA7">
              <w:rPr>
                <w:noProof/>
                <w:webHidden/>
              </w:rPr>
              <w:fldChar w:fldCharType="separate"/>
            </w:r>
            <w:r w:rsidR="00533EA7">
              <w:rPr>
                <w:noProof/>
                <w:webHidden/>
              </w:rPr>
              <w:t>10</w:t>
            </w:r>
            <w:r w:rsidR="00533EA7">
              <w:rPr>
                <w:noProof/>
                <w:webHidden/>
              </w:rPr>
              <w:fldChar w:fldCharType="end"/>
            </w:r>
          </w:hyperlink>
        </w:p>
        <w:p w:rsidR="00391CCB" w:rsidRDefault="00391CCB">
          <w:r w:rsidRPr="002426FF">
            <w:rPr>
              <w:rFonts w:cstheme="minorHAnsi"/>
              <w:b/>
              <w:bCs/>
              <w:noProof/>
            </w:rPr>
            <w:fldChar w:fldCharType="end"/>
          </w:r>
        </w:p>
      </w:sdtContent>
    </w:sdt>
    <w:p w:rsidR="00391CCB" w:rsidRDefault="00391CCB">
      <w:pPr>
        <w:rPr>
          <w:rFonts w:asciiTheme="majorHAnsi" w:eastAsiaTheme="majorEastAsia" w:hAnsiTheme="majorHAnsi" w:cstheme="majorBidi"/>
          <w:b/>
          <w:bCs/>
          <w:color w:val="365F91" w:themeColor="accent1" w:themeShade="BF"/>
          <w:sz w:val="27"/>
          <w:szCs w:val="27"/>
        </w:rPr>
      </w:pPr>
      <w:r>
        <w:rPr>
          <w:sz w:val="27"/>
          <w:szCs w:val="27"/>
        </w:rPr>
        <w:br w:type="page"/>
      </w:r>
    </w:p>
    <w:p w:rsidR="00583381" w:rsidRDefault="002426FF" w:rsidP="00583381">
      <w:pPr>
        <w:rPr>
          <w:rFonts w:asciiTheme="majorHAnsi" w:eastAsiaTheme="majorEastAsia" w:hAnsiTheme="majorHAnsi" w:cstheme="majorBidi"/>
          <w:b/>
          <w:bCs/>
          <w:color w:val="365F91" w:themeColor="accent1" w:themeShade="BF"/>
          <w:sz w:val="27"/>
          <w:szCs w:val="27"/>
        </w:rPr>
      </w:pPr>
      <w:r w:rsidRPr="002426FF">
        <w:rPr>
          <w:rFonts w:asciiTheme="majorHAnsi" w:eastAsiaTheme="majorEastAsia" w:hAnsiTheme="majorHAnsi" w:cstheme="majorBidi"/>
          <w:b/>
          <w:bCs/>
          <w:color w:val="365F91" w:themeColor="accent1" w:themeShade="BF"/>
          <w:sz w:val="27"/>
          <w:szCs w:val="27"/>
        </w:rPr>
        <w:lastRenderedPageBreak/>
        <w:t>MCRG Outline Financial Sustainability Plans and Funding Strategy</w:t>
      </w:r>
    </w:p>
    <w:p w:rsidR="002426FF" w:rsidRDefault="002426FF" w:rsidP="00583381"/>
    <w:p w:rsidR="00806481" w:rsidRPr="008C3B97" w:rsidRDefault="00583381" w:rsidP="00583381">
      <w:r w:rsidRPr="008C3B97">
        <w:t>The following is a</w:t>
      </w:r>
      <w:r w:rsidR="008C3B97">
        <w:t>n outline of MCRG</w:t>
      </w:r>
      <w:r w:rsidR="002426FF">
        <w:t>’s</w:t>
      </w:r>
      <w:r w:rsidR="008C3B97">
        <w:t xml:space="preserve"> plans for </w:t>
      </w:r>
      <w:r w:rsidR="008F5A05" w:rsidRPr="008C3B97">
        <w:t xml:space="preserve">financial </w:t>
      </w:r>
      <w:r w:rsidR="008C3B97">
        <w:t>sustainability</w:t>
      </w:r>
      <w:r w:rsidR="00794D16">
        <w:t xml:space="preserve"> and the associated </w:t>
      </w:r>
      <w:r w:rsidR="00C75D8B">
        <w:t>funding</w:t>
      </w:r>
      <w:r w:rsidR="00794D16">
        <w:t xml:space="preserve"> strategy</w:t>
      </w:r>
      <w:r w:rsidR="00533EA7">
        <w:t xml:space="preserve"> as it relates to </w:t>
      </w:r>
      <w:proofErr w:type="spellStart"/>
      <w:r w:rsidR="00533EA7">
        <w:t>Invertay</w:t>
      </w:r>
      <w:proofErr w:type="spellEnd"/>
      <w:r w:rsidR="00533EA7">
        <w:t xml:space="preserve"> House</w:t>
      </w:r>
      <w:r w:rsidR="00794D16">
        <w:t>;</w:t>
      </w:r>
      <w:r w:rsidR="008C3B97">
        <w:t xml:space="preserve"> this includes</w:t>
      </w:r>
      <w:r w:rsidR="00794D16">
        <w:t>:</w:t>
      </w:r>
    </w:p>
    <w:p w:rsidR="00583381" w:rsidRDefault="00806481" w:rsidP="00806481">
      <w:pPr>
        <w:pStyle w:val="ListParagraph"/>
        <w:numPr>
          <w:ilvl w:val="0"/>
          <w:numId w:val="8"/>
        </w:numPr>
      </w:pPr>
      <w:r>
        <w:t xml:space="preserve">Assumptions for </w:t>
      </w:r>
      <w:r w:rsidR="00794D16">
        <w:t>income p</w:t>
      </w:r>
      <w:r w:rsidR="0085367F">
        <w:t>rojections</w:t>
      </w:r>
    </w:p>
    <w:p w:rsidR="00806481" w:rsidRDefault="00806481" w:rsidP="00806481">
      <w:pPr>
        <w:pStyle w:val="ListParagraph"/>
        <w:numPr>
          <w:ilvl w:val="0"/>
          <w:numId w:val="8"/>
        </w:numPr>
      </w:pPr>
      <w:r>
        <w:t xml:space="preserve">Income projections from the </w:t>
      </w:r>
      <w:r w:rsidR="00794D16">
        <w:t>l</w:t>
      </w:r>
      <w:r>
        <w:t xml:space="preserve">etting </w:t>
      </w:r>
      <w:r w:rsidR="00794D16">
        <w:t>programme</w:t>
      </w:r>
    </w:p>
    <w:p w:rsidR="008C3B97" w:rsidRDefault="008C3B97" w:rsidP="00806481">
      <w:pPr>
        <w:pStyle w:val="ListParagraph"/>
        <w:numPr>
          <w:ilvl w:val="0"/>
          <w:numId w:val="8"/>
        </w:numPr>
      </w:pPr>
      <w:r>
        <w:t xml:space="preserve">An outline </w:t>
      </w:r>
      <w:r w:rsidR="002426FF">
        <w:t>of</w:t>
      </w:r>
      <w:r w:rsidR="00533EA7">
        <w:t xml:space="preserve"> C</w:t>
      </w:r>
      <w:r>
        <w:t>entre expenditure</w:t>
      </w:r>
    </w:p>
    <w:p w:rsidR="00806481" w:rsidRDefault="00806481" w:rsidP="00806481">
      <w:pPr>
        <w:pStyle w:val="ListParagraph"/>
        <w:numPr>
          <w:ilvl w:val="0"/>
          <w:numId w:val="8"/>
        </w:numPr>
      </w:pPr>
      <w:r>
        <w:t xml:space="preserve">3 Year </w:t>
      </w:r>
      <w:r w:rsidR="008C3B97">
        <w:t xml:space="preserve">outline </w:t>
      </w:r>
      <w:r w:rsidR="00794D16">
        <w:t>financial p</w:t>
      </w:r>
      <w:r>
        <w:t xml:space="preserve">rojections </w:t>
      </w:r>
    </w:p>
    <w:p w:rsidR="00583381" w:rsidRDefault="00806481" w:rsidP="00794D16">
      <w:pPr>
        <w:pStyle w:val="ListParagraph"/>
        <w:numPr>
          <w:ilvl w:val="0"/>
          <w:numId w:val="8"/>
        </w:numPr>
      </w:pPr>
      <w:r>
        <w:t xml:space="preserve">A </w:t>
      </w:r>
      <w:r w:rsidR="002426FF">
        <w:t>r</w:t>
      </w:r>
      <w:r>
        <w:t xml:space="preserve">eview of the </w:t>
      </w:r>
      <w:r w:rsidR="00794D16">
        <w:t>Centre’s financial s</w:t>
      </w:r>
      <w:r w:rsidR="00794D16" w:rsidRPr="00794D16">
        <w:t>ustainability</w:t>
      </w:r>
    </w:p>
    <w:p w:rsidR="0085367F" w:rsidRPr="00583381" w:rsidRDefault="00794D16" w:rsidP="00583381">
      <w:pPr>
        <w:pStyle w:val="ListParagraph"/>
        <w:numPr>
          <w:ilvl w:val="0"/>
          <w:numId w:val="8"/>
        </w:numPr>
      </w:pPr>
      <w:r>
        <w:t>Funding opportunities and</w:t>
      </w:r>
      <w:r w:rsidR="00533EA7">
        <w:t xml:space="preserve"> funding</w:t>
      </w:r>
      <w:r>
        <w:t xml:space="preserve"> s</w:t>
      </w:r>
      <w:r w:rsidR="0085367F">
        <w:t>trategy</w:t>
      </w:r>
    </w:p>
    <w:p w:rsidR="00B50B2D" w:rsidRDefault="00BD6297" w:rsidP="00583381">
      <w:pPr>
        <w:pStyle w:val="Heading2"/>
        <w:tabs>
          <w:tab w:val="right" w:pos="9026"/>
        </w:tabs>
      </w:pPr>
      <w:bookmarkStart w:id="0" w:name="_Toc493491709"/>
      <w:r>
        <w:t xml:space="preserve">Assumptions for </w:t>
      </w:r>
      <w:r w:rsidR="0085367F">
        <w:t>Income Projections</w:t>
      </w:r>
      <w:bookmarkEnd w:id="0"/>
      <w:r w:rsidR="00583381">
        <w:tab/>
      </w:r>
    </w:p>
    <w:p w:rsidR="00D756B7" w:rsidRDefault="00D756B7" w:rsidP="00BD6297"/>
    <w:p w:rsidR="002426FF" w:rsidRDefault="00F91A89" w:rsidP="00BD6297">
      <w:r>
        <w:t>The Centre’s income generation strategy will focus on</w:t>
      </w:r>
      <w:r w:rsidR="002426FF">
        <w:t>:</w:t>
      </w:r>
    </w:p>
    <w:p w:rsidR="002426FF" w:rsidRDefault="002426FF" w:rsidP="002426FF">
      <w:pPr>
        <w:pStyle w:val="ListParagraph"/>
        <w:numPr>
          <w:ilvl w:val="0"/>
          <w:numId w:val="22"/>
        </w:numPr>
      </w:pPr>
      <w:r>
        <w:t>T</w:t>
      </w:r>
      <w:r w:rsidR="00F91A89">
        <w:t>he short, medium and long term rental and let</w:t>
      </w:r>
      <w:r>
        <w:t xml:space="preserve">ting of the </w:t>
      </w:r>
      <w:r w:rsidR="0073469D">
        <w:t>C</w:t>
      </w:r>
      <w:r>
        <w:t>entre’s facilities</w:t>
      </w:r>
      <w:r w:rsidR="00F91A89">
        <w:t xml:space="preserve"> </w:t>
      </w:r>
    </w:p>
    <w:p w:rsidR="002426FF" w:rsidRDefault="002426FF" w:rsidP="002426FF">
      <w:pPr>
        <w:pStyle w:val="ListParagraph"/>
        <w:numPr>
          <w:ilvl w:val="0"/>
          <w:numId w:val="22"/>
        </w:numPr>
      </w:pPr>
      <w:r>
        <w:t>T</w:t>
      </w:r>
      <w:r w:rsidR="00F91A89">
        <w:t>he income generate</w:t>
      </w:r>
      <w:r>
        <w:t xml:space="preserve">d through the </w:t>
      </w:r>
      <w:r w:rsidR="0073469D">
        <w:t>C</w:t>
      </w:r>
      <w:r>
        <w:t>entre’s café</w:t>
      </w:r>
    </w:p>
    <w:p w:rsidR="002426FF" w:rsidRDefault="002426FF" w:rsidP="002426FF">
      <w:pPr>
        <w:pStyle w:val="ListParagraph"/>
        <w:numPr>
          <w:ilvl w:val="0"/>
          <w:numId w:val="22"/>
        </w:numPr>
      </w:pPr>
      <w:r>
        <w:t>M</w:t>
      </w:r>
      <w:r w:rsidR="00F91A89">
        <w:t xml:space="preserve">embership income derived through the </w:t>
      </w:r>
      <w:r w:rsidR="0073469D">
        <w:t>C</w:t>
      </w:r>
      <w:r w:rsidR="00F91A89">
        <w:t>entre’s gym facility</w:t>
      </w:r>
      <w:r w:rsidR="0073469D">
        <w:t xml:space="preserve"> </w:t>
      </w:r>
      <w:r w:rsidR="003E3961">
        <w:t xml:space="preserve"> </w:t>
      </w:r>
    </w:p>
    <w:p w:rsidR="00F91A89" w:rsidRDefault="002426FF" w:rsidP="002426FF">
      <w:r>
        <w:t xml:space="preserve">The facilities </w:t>
      </w:r>
      <w:r w:rsidR="0073469D">
        <w:t xml:space="preserve">that </w:t>
      </w:r>
      <w:r>
        <w:t>will generate income for the Centre include</w:t>
      </w:r>
      <w:r w:rsidR="000509C7">
        <w:t xml:space="preserve"> the following</w:t>
      </w:r>
      <w:r>
        <w:t>:</w:t>
      </w:r>
    </w:p>
    <w:p w:rsidR="00E90950" w:rsidRPr="00E90950" w:rsidRDefault="00E90950" w:rsidP="0073469D">
      <w:pPr>
        <w:pStyle w:val="Heading3"/>
      </w:pPr>
      <w:bookmarkStart w:id="1" w:name="_Toc493491710"/>
      <w:r w:rsidRPr="00E90950">
        <w:t>Sports Hall</w:t>
      </w:r>
      <w:bookmarkEnd w:id="1"/>
    </w:p>
    <w:p w:rsidR="00F91A89" w:rsidRDefault="00E90950" w:rsidP="00E90950">
      <w:r>
        <w:t>There will be a</w:t>
      </w:r>
      <w:r w:rsidR="00F91A89">
        <w:t xml:space="preserve"> </w:t>
      </w:r>
      <w:r>
        <w:t xml:space="preserve">sports hall which will be large enough to accommodate five a side football </w:t>
      </w:r>
      <w:r w:rsidR="0073469D">
        <w:t xml:space="preserve">and </w:t>
      </w:r>
      <w:r w:rsidR="00F91A89">
        <w:t xml:space="preserve">will be suitable for </w:t>
      </w:r>
      <w:r>
        <w:t>a range of indoor sports including</w:t>
      </w:r>
      <w:r w:rsidR="0073469D">
        <w:t xml:space="preserve"> basketball, netball, </w:t>
      </w:r>
      <w:r w:rsidR="00794D16">
        <w:t>badminton</w:t>
      </w:r>
      <w:r w:rsidR="0073469D">
        <w:t xml:space="preserve"> and short tennis</w:t>
      </w:r>
      <w:r w:rsidR="000325D1">
        <w:t xml:space="preserve">. The hall will also </w:t>
      </w:r>
      <w:r>
        <w:t>be used as a multi-functional</w:t>
      </w:r>
      <w:r w:rsidR="003E3961">
        <w:t xml:space="preserve"> space for group hire and community </w:t>
      </w:r>
      <w:r w:rsidR="000325D1">
        <w:t xml:space="preserve">events. </w:t>
      </w:r>
      <w:r>
        <w:t xml:space="preserve">Initial projections have </w:t>
      </w:r>
      <w:r w:rsidR="003E3961">
        <w:t>been based on a pricing st</w:t>
      </w:r>
      <w:r w:rsidR="00794D16">
        <w:t xml:space="preserve">ructure of £37.50 per hour for </w:t>
      </w:r>
      <w:r w:rsidR="003E3961">
        <w:t xml:space="preserve">the full hire of the sports hall and £8.33 for the </w:t>
      </w:r>
      <w:r w:rsidR="00794D16">
        <w:t>h</w:t>
      </w:r>
      <w:r w:rsidR="003E3961">
        <w:t xml:space="preserve">ire of a single badminton court for </w:t>
      </w:r>
      <w:r w:rsidR="000325D1">
        <w:t>one</w:t>
      </w:r>
      <w:r w:rsidR="003E3961">
        <w:t xml:space="preserve"> hour. Projections have been based on 25 one hour hires per week for the fu</w:t>
      </w:r>
      <w:r w:rsidR="000325D1">
        <w:t>ll sports hall and 30 one hour</w:t>
      </w:r>
      <w:r w:rsidR="003E3961">
        <w:t xml:space="preserve"> hires for a single court</w:t>
      </w:r>
      <w:r w:rsidR="00D9312B">
        <w:t>.</w:t>
      </w:r>
      <w:r w:rsidR="003E3961">
        <w:t xml:space="preserve">  </w:t>
      </w:r>
    </w:p>
    <w:tbl>
      <w:tblPr>
        <w:tblStyle w:val="TableGrid"/>
        <w:tblW w:w="0" w:type="auto"/>
        <w:tblInd w:w="913" w:type="dxa"/>
        <w:tblLook w:val="04A0" w:firstRow="1" w:lastRow="0" w:firstColumn="1" w:lastColumn="0" w:noHBand="0" w:noVBand="1"/>
      </w:tblPr>
      <w:tblGrid>
        <w:gridCol w:w="3940"/>
        <w:gridCol w:w="1040"/>
        <w:gridCol w:w="1040"/>
        <w:gridCol w:w="1200"/>
      </w:tblGrid>
      <w:tr w:rsidR="00D9312B" w:rsidRPr="00D9312B" w:rsidTr="00D9312B">
        <w:trPr>
          <w:trHeight w:val="900"/>
        </w:trPr>
        <w:tc>
          <w:tcPr>
            <w:tcW w:w="3940" w:type="dxa"/>
            <w:noWrap/>
            <w:hideMark/>
          </w:tcPr>
          <w:p w:rsidR="00D9312B" w:rsidRPr="00640441" w:rsidRDefault="00D9312B">
            <w:pPr>
              <w:rPr>
                <w:b/>
                <w:bCs/>
              </w:rPr>
            </w:pPr>
            <w:r w:rsidRPr="00640441">
              <w:rPr>
                <w:b/>
                <w:bCs/>
              </w:rPr>
              <w:t xml:space="preserve">Sports Hall Hires </w:t>
            </w:r>
          </w:p>
        </w:tc>
        <w:tc>
          <w:tcPr>
            <w:tcW w:w="1040" w:type="dxa"/>
            <w:hideMark/>
          </w:tcPr>
          <w:p w:rsidR="00D9312B" w:rsidRPr="00D9312B" w:rsidRDefault="00D9312B">
            <w:r w:rsidRPr="00D9312B">
              <w:t xml:space="preserve">hourly hires per week </w:t>
            </w:r>
          </w:p>
        </w:tc>
        <w:tc>
          <w:tcPr>
            <w:tcW w:w="1040" w:type="dxa"/>
            <w:hideMark/>
          </w:tcPr>
          <w:p w:rsidR="00D9312B" w:rsidRPr="00D9312B" w:rsidRDefault="00D9312B">
            <w:r w:rsidRPr="00D9312B">
              <w:t>Fee</w:t>
            </w:r>
          </w:p>
        </w:tc>
        <w:tc>
          <w:tcPr>
            <w:tcW w:w="1200" w:type="dxa"/>
            <w:hideMark/>
          </w:tcPr>
          <w:p w:rsidR="00D9312B" w:rsidRPr="00D9312B" w:rsidRDefault="00D9312B">
            <w:r w:rsidRPr="00D9312B">
              <w:t xml:space="preserve">Income per year </w:t>
            </w:r>
          </w:p>
        </w:tc>
      </w:tr>
      <w:tr w:rsidR="00D9312B" w:rsidRPr="00D9312B" w:rsidTr="00D9312B">
        <w:trPr>
          <w:trHeight w:val="300"/>
        </w:trPr>
        <w:tc>
          <w:tcPr>
            <w:tcW w:w="3940" w:type="dxa"/>
            <w:noWrap/>
            <w:hideMark/>
          </w:tcPr>
          <w:p w:rsidR="00D9312B" w:rsidRPr="00D9312B" w:rsidRDefault="00D9312B" w:rsidP="00D9312B">
            <w:r w:rsidRPr="00D9312B">
              <w:t xml:space="preserve">Full Hall Hire </w:t>
            </w:r>
          </w:p>
        </w:tc>
        <w:tc>
          <w:tcPr>
            <w:tcW w:w="1040" w:type="dxa"/>
            <w:noWrap/>
            <w:hideMark/>
          </w:tcPr>
          <w:p w:rsidR="00D9312B" w:rsidRPr="00D9312B" w:rsidRDefault="00D9312B" w:rsidP="00D9312B">
            <w:r w:rsidRPr="00D9312B">
              <w:t>25</w:t>
            </w:r>
          </w:p>
        </w:tc>
        <w:tc>
          <w:tcPr>
            <w:tcW w:w="1040" w:type="dxa"/>
            <w:noWrap/>
            <w:hideMark/>
          </w:tcPr>
          <w:p w:rsidR="00D9312B" w:rsidRPr="00D9312B" w:rsidRDefault="00D9312B" w:rsidP="00D9312B">
            <w:r w:rsidRPr="00D9312B">
              <w:t>£37.50</w:t>
            </w:r>
          </w:p>
        </w:tc>
        <w:tc>
          <w:tcPr>
            <w:tcW w:w="1200" w:type="dxa"/>
            <w:noWrap/>
            <w:hideMark/>
          </w:tcPr>
          <w:p w:rsidR="00D9312B" w:rsidRPr="00D9312B" w:rsidRDefault="00D9312B" w:rsidP="00D9312B">
            <w:r w:rsidRPr="00D9312B">
              <w:t>£48,750</w:t>
            </w:r>
          </w:p>
        </w:tc>
      </w:tr>
      <w:tr w:rsidR="00D9312B" w:rsidRPr="00D9312B" w:rsidTr="00D9312B">
        <w:trPr>
          <w:trHeight w:val="300"/>
        </w:trPr>
        <w:tc>
          <w:tcPr>
            <w:tcW w:w="3940" w:type="dxa"/>
            <w:noWrap/>
            <w:hideMark/>
          </w:tcPr>
          <w:p w:rsidR="00D9312B" w:rsidRPr="00D9312B" w:rsidRDefault="00D9312B" w:rsidP="00D9312B">
            <w:r w:rsidRPr="00D9312B">
              <w:t>Per Court Hire</w:t>
            </w:r>
          </w:p>
        </w:tc>
        <w:tc>
          <w:tcPr>
            <w:tcW w:w="1040" w:type="dxa"/>
            <w:noWrap/>
            <w:hideMark/>
          </w:tcPr>
          <w:p w:rsidR="00D9312B" w:rsidRPr="00D9312B" w:rsidRDefault="00D9312B" w:rsidP="00D9312B">
            <w:r w:rsidRPr="00D9312B">
              <w:t>30</w:t>
            </w:r>
          </w:p>
        </w:tc>
        <w:tc>
          <w:tcPr>
            <w:tcW w:w="1040" w:type="dxa"/>
            <w:noWrap/>
            <w:hideMark/>
          </w:tcPr>
          <w:p w:rsidR="00D9312B" w:rsidRPr="00D9312B" w:rsidRDefault="00D9312B" w:rsidP="00D9312B">
            <w:r w:rsidRPr="00D9312B">
              <w:t>£8.33</w:t>
            </w:r>
          </w:p>
        </w:tc>
        <w:tc>
          <w:tcPr>
            <w:tcW w:w="1200" w:type="dxa"/>
            <w:noWrap/>
            <w:hideMark/>
          </w:tcPr>
          <w:p w:rsidR="00D9312B" w:rsidRPr="00D9312B" w:rsidRDefault="00D9312B" w:rsidP="00D9312B">
            <w:r w:rsidRPr="00D9312B">
              <w:t>£13,000</w:t>
            </w:r>
          </w:p>
        </w:tc>
      </w:tr>
    </w:tbl>
    <w:p w:rsidR="003E3961" w:rsidRDefault="0073469D" w:rsidP="00E90950">
      <w:r>
        <w:t>(All income and expenditure</w:t>
      </w:r>
      <w:r w:rsidRPr="0073469D">
        <w:t xml:space="preserve"> projections</w:t>
      </w:r>
      <w:r>
        <w:t xml:space="preserve"> are excluding applicable VAT.)</w:t>
      </w:r>
    </w:p>
    <w:p w:rsidR="003E3961" w:rsidRDefault="003E3961" w:rsidP="0073469D">
      <w:pPr>
        <w:pStyle w:val="Heading3"/>
      </w:pPr>
      <w:bookmarkStart w:id="2" w:name="_Toc493491711"/>
      <w:r w:rsidRPr="003E3961">
        <w:t>Fitness Suite</w:t>
      </w:r>
      <w:bookmarkEnd w:id="2"/>
      <w:r w:rsidRPr="003E3961">
        <w:t xml:space="preserve"> </w:t>
      </w:r>
    </w:p>
    <w:p w:rsidR="003E3961" w:rsidRDefault="003E3961" w:rsidP="00E90950">
      <w:r>
        <w:t xml:space="preserve">One the first floor of the Centre will be a </w:t>
      </w:r>
      <w:r w:rsidRPr="003E3961">
        <w:t xml:space="preserve">medium sized </w:t>
      </w:r>
      <w:r>
        <w:t xml:space="preserve">fitness suite that </w:t>
      </w:r>
      <w:r w:rsidRPr="003E3961">
        <w:t>will include</w:t>
      </w:r>
      <w:r>
        <w:t xml:space="preserve"> a range of cardiovascular machines including</w:t>
      </w:r>
      <w:r w:rsidRPr="003E3961">
        <w:t xml:space="preserve"> treadmills, cross trainers, exercise bikes, rowing machines </w:t>
      </w:r>
      <w:r w:rsidR="00D9312B">
        <w:t>and strength training machines. Initial projections have been based on a monthly membership fee of £12.50 a month and 150 members</w:t>
      </w:r>
      <w:r w:rsidR="00794D16">
        <w:t>.</w:t>
      </w:r>
      <w:r w:rsidR="00D9312B">
        <w:t xml:space="preserve"> </w:t>
      </w:r>
    </w:p>
    <w:p w:rsidR="000509C7" w:rsidRPr="003E3961" w:rsidRDefault="000509C7" w:rsidP="00E90950"/>
    <w:tbl>
      <w:tblPr>
        <w:tblStyle w:val="TableGrid"/>
        <w:tblW w:w="0" w:type="auto"/>
        <w:tblInd w:w="890" w:type="dxa"/>
        <w:tblLook w:val="04A0" w:firstRow="1" w:lastRow="0" w:firstColumn="1" w:lastColumn="0" w:noHBand="0" w:noVBand="1"/>
      </w:tblPr>
      <w:tblGrid>
        <w:gridCol w:w="3940"/>
        <w:gridCol w:w="1093"/>
        <w:gridCol w:w="1040"/>
        <w:gridCol w:w="1200"/>
      </w:tblGrid>
      <w:tr w:rsidR="00D9312B" w:rsidRPr="00D9312B" w:rsidTr="00D9312B">
        <w:trPr>
          <w:trHeight w:val="600"/>
        </w:trPr>
        <w:tc>
          <w:tcPr>
            <w:tcW w:w="3940" w:type="dxa"/>
            <w:noWrap/>
            <w:hideMark/>
          </w:tcPr>
          <w:p w:rsidR="00D9312B" w:rsidRPr="00640441" w:rsidRDefault="00D9312B">
            <w:pPr>
              <w:rPr>
                <w:b/>
                <w:bCs/>
              </w:rPr>
            </w:pPr>
            <w:r w:rsidRPr="00640441">
              <w:rPr>
                <w:b/>
                <w:bCs/>
              </w:rPr>
              <w:lastRenderedPageBreak/>
              <w:t xml:space="preserve">Fitness Suite </w:t>
            </w:r>
          </w:p>
        </w:tc>
        <w:tc>
          <w:tcPr>
            <w:tcW w:w="1093" w:type="dxa"/>
            <w:noWrap/>
            <w:hideMark/>
          </w:tcPr>
          <w:p w:rsidR="00D9312B" w:rsidRPr="00640441" w:rsidRDefault="00D9312B">
            <w:r w:rsidRPr="00640441">
              <w:t xml:space="preserve">Members </w:t>
            </w:r>
          </w:p>
        </w:tc>
        <w:tc>
          <w:tcPr>
            <w:tcW w:w="1040" w:type="dxa"/>
            <w:hideMark/>
          </w:tcPr>
          <w:p w:rsidR="00D9312B" w:rsidRPr="00640441" w:rsidRDefault="00D9312B">
            <w:r w:rsidRPr="00640441">
              <w:t>Fee per month</w:t>
            </w:r>
          </w:p>
        </w:tc>
        <w:tc>
          <w:tcPr>
            <w:tcW w:w="1200" w:type="dxa"/>
            <w:hideMark/>
          </w:tcPr>
          <w:p w:rsidR="00D9312B" w:rsidRPr="00640441" w:rsidRDefault="00D9312B">
            <w:r w:rsidRPr="00640441">
              <w:t xml:space="preserve">Income per year </w:t>
            </w:r>
          </w:p>
        </w:tc>
      </w:tr>
      <w:tr w:rsidR="00D9312B" w:rsidRPr="00D9312B" w:rsidTr="00D9312B">
        <w:trPr>
          <w:trHeight w:val="300"/>
        </w:trPr>
        <w:tc>
          <w:tcPr>
            <w:tcW w:w="3940" w:type="dxa"/>
            <w:noWrap/>
            <w:hideMark/>
          </w:tcPr>
          <w:p w:rsidR="00D9312B" w:rsidRPr="00640441" w:rsidRDefault="00D9312B" w:rsidP="00D9312B">
            <w:r w:rsidRPr="00640441">
              <w:t xml:space="preserve">Members </w:t>
            </w:r>
          </w:p>
        </w:tc>
        <w:tc>
          <w:tcPr>
            <w:tcW w:w="1093" w:type="dxa"/>
            <w:noWrap/>
            <w:hideMark/>
          </w:tcPr>
          <w:p w:rsidR="00D9312B" w:rsidRPr="00640441" w:rsidRDefault="00D9312B" w:rsidP="00D9312B">
            <w:r w:rsidRPr="00640441">
              <w:t>150</w:t>
            </w:r>
          </w:p>
        </w:tc>
        <w:tc>
          <w:tcPr>
            <w:tcW w:w="1040" w:type="dxa"/>
            <w:noWrap/>
            <w:hideMark/>
          </w:tcPr>
          <w:p w:rsidR="00D9312B" w:rsidRPr="00640441" w:rsidRDefault="00D9312B" w:rsidP="00D9312B">
            <w:r w:rsidRPr="00640441">
              <w:t>£12.50</w:t>
            </w:r>
          </w:p>
        </w:tc>
        <w:tc>
          <w:tcPr>
            <w:tcW w:w="1200" w:type="dxa"/>
            <w:noWrap/>
            <w:hideMark/>
          </w:tcPr>
          <w:p w:rsidR="00D9312B" w:rsidRPr="00640441" w:rsidRDefault="00D9312B" w:rsidP="00D9312B">
            <w:r w:rsidRPr="00640441">
              <w:t>£22,500</w:t>
            </w:r>
          </w:p>
        </w:tc>
      </w:tr>
    </w:tbl>
    <w:p w:rsidR="003E3961" w:rsidRPr="003E3961" w:rsidRDefault="003E3961" w:rsidP="00E90950">
      <w:pPr>
        <w:rPr>
          <w:b/>
        </w:rPr>
      </w:pPr>
    </w:p>
    <w:p w:rsidR="00D9312B" w:rsidRDefault="00D9312B" w:rsidP="0073469D">
      <w:pPr>
        <w:pStyle w:val="Heading3"/>
      </w:pPr>
      <w:bookmarkStart w:id="3" w:name="_Toc493491712"/>
      <w:r w:rsidRPr="00D9312B">
        <w:t>Activity Hall 1</w:t>
      </w:r>
      <w:bookmarkEnd w:id="3"/>
      <w:r w:rsidRPr="00D9312B">
        <w:t xml:space="preserve"> </w:t>
      </w:r>
    </w:p>
    <w:p w:rsidR="00640441" w:rsidRDefault="000325D1" w:rsidP="00D9312B">
      <w:r>
        <w:t>There will be a</w:t>
      </w:r>
      <w:r w:rsidR="00F91A89">
        <w:t xml:space="preserve"> multi-functional activity hall will be available for a range of short term hires of up to a day in length.</w:t>
      </w:r>
      <w:r w:rsidR="00640441">
        <w:t xml:space="preserve"> The facility will </w:t>
      </w:r>
      <w:r w:rsidR="00794D16">
        <w:t>be 85</w:t>
      </w:r>
      <w:r w:rsidR="00640441">
        <w:t xml:space="preserve"> meters squared and will house the majority of users of the current cabin facility. Initial projections have been based on a hire fee of £12.50 an hour and 40 hourly hires per week.</w:t>
      </w:r>
    </w:p>
    <w:tbl>
      <w:tblPr>
        <w:tblStyle w:val="TableGrid"/>
        <w:tblW w:w="0" w:type="auto"/>
        <w:tblInd w:w="913" w:type="dxa"/>
        <w:tblLook w:val="04A0" w:firstRow="1" w:lastRow="0" w:firstColumn="1" w:lastColumn="0" w:noHBand="0" w:noVBand="1"/>
      </w:tblPr>
      <w:tblGrid>
        <w:gridCol w:w="3940"/>
        <w:gridCol w:w="1040"/>
        <w:gridCol w:w="1040"/>
        <w:gridCol w:w="1200"/>
      </w:tblGrid>
      <w:tr w:rsidR="00640441" w:rsidRPr="00640441" w:rsidTr="00640441">
        <w:trPr>
          <w:trHeight w:val="900"/>
        </w:trPr>
        <w:tc>
          <w:tcPr>
            <w:tcW w:w="3940" w:type="dxa"/>
            <w:noWrap/>
            <w:hideMark/>
          </w:tcPr>
          <w:p w:rsidR="00640441" w:rsidRPr="00640441" w:rsidRDefault="00640441">
            <w:pPr>
              <w:rPr>
                <w:b/>
                <w:bCs/>
              </w:rPr>
            </w:pPr>
            <w:r w:rsidRPr="00640441">
              <w:rPr>
                <w:b/>
                <w:bCs/>
              </w:rPr>
              <w:t xml:space="preserve">Activity Hall 1 </w:t>
            </w:r>
          </w:p>
        </w:tc>
        <w:tc>
          <w:tcPr>
            <w:tcW w:w="1040" w:type="dxa"/>
            <w:hideMark/>
          </w:tcPr>
          <w:p w:rsidR="00640441" w:rsidRPr="00640441" w:rsidRDefault="00640441">
            <w:r w:rsidRPr="00640441">
              <w:t xml:space="preserve">hourly hires per week </w:t>
            </w:r>
          </w:p>
        </w:tc>
        <w:tc>
          <w:tcPr>
            <w:tcW w:w="1040" w:type="dxa"/>
            <w:hideMark/>
          </w:tcPr>
          <w:p w:rsidR="00640441" w:rsidRPr="00640441" w:rsidRDefault="00640441">
            <w:r w:rsidRPr="00640441">
              <w:t>Fee</w:t>
            </w:r>
          </w:p>
        </w:tc>
        <w:tc>
          <w:tcPr>
            <w:tcW w:w="1200" w:type="dxa"/>
            <w:hideMark/>
          </w:tcPr>
          <w:p w:rsidR="00640441" w:rsidRPr="00640441" w:rsidRDefault="00640441">
            <w:r w:rsidRPr="00640441">
              <w:t xml:space="preserve">Income per year </w:t>
            </w:r>
          </w:p>
        </w:tc>
      </w:tr>
      <w:tr w:rsidR="00640441" w:rsidRPr="00640441" w:rsidTr="00640441">
        <w:trPr>
          <w:trHeight w:val="300"/>
        </w:trPr>
        <w:tc>
          <w:tcPr>
            <w:tcW w:w="3940" w:type="dxa"/>
            <w:noWrap/>
            <w:hideMark/>
          </w:tcPr>
          <w:p w:rsidR="00640441" w:rsidRPr="00640441" w:rsidRDefault="00640441" w:rsidP="00640441">
            <w:r w:rsidRPr="00640441">
              <w:t xml:space="preserve">Hall Hire </w:t>
            </w:r>
          </w:p>
        </w:tc>
        <w:tc>
          <w:tcPr>
            <w:tcW w:w="1040" w:type="dxa"/>
            <w:noWrap/>
            <w:hideMark/>
          </w:tcPr>
          <w:p w:rsidR="00640441" w:rsidRPr="00640441" w:rsidRDefault="00640441" w:rsidP="00640441">
            <w:r w:rsidRPr="00640441">
              <w:t>40</w:t>
            </w:r>
          </w:p>
        </w:tc>
        <w:tc>
          <w:tcPr>
            <w:tcW w:w="1040" w:type="dxa"/>
            <w:noWrap/>
            <w:hideMark/>
          </w:tcPr>
          <w:p w:rsidR="00640441" w:rsidRPr="00640441" w:rsidRDefault="00640441" w:rsidP="00640441">
            <w:r w:rsidRPr="00640441">
              <w:t>£12.50</w:t>
            </w:r>
          </w:p>
        </w:tc>
        <w:tc>
          <w:tcPr>
            <w:tcW w:w="1200" w:type="dxa"/>
            <w:noWrap/>
            <w:hideMark/>
          </w:tcPr>
          <w:p w:rsidR="00640441" w:rsidRPr="00640441" w:rsidRDefault="00640441" w:rsidP="00640441">
            <w:r w:rsidRPr="00640441">
              <w:t>£26,000</w:t>
            </w:r>
          </w:p>
        </w:tc>
      </w:tr>
    </w:tbl>
    <w:p w:rsidR="00640441" w:rsidRDefault="00640441" w:rsidP="00D9312B"/>
    <w:p w:rsidR="00640441" w:rsidRPr="005259EE" w:rsidRDefault="005259EE" w:rsidP="0073469D">
      <w:pPr>
        <w:pStyle w:val="Heading3"/>
      </w:pPr>
      <w:bookmarkStart w:id="4" w:name="_Toc493491713"/>
      <w:r w:rsidRPr="005259EE">
        <w:t>Meeting Room</w:t>
      </w:r>
      <w:bookmarkEnd w:id="4"/>
      <w:r w:rsidRPr="005259EE">
        <w:t xml:space="preserve"> </w:t>
      </w:r>
    </w:p>
    <w:p w:rsidR="00F91A89" w:rsidRDefault="005259EE" w:rsidP="005259EE">
      <w:r>
        <w:t xml:space="preserve">There will be a </w:t>
      </w:r>
      <w:r w:rsidR="00514CDE">
        <w:t xml:space="preserve">small meeting room that will be </w:t>
      </w:r>
      <w:r>
        <w:t>able to accommodate approximately 10 people, it is likely that this room will be used for community meetings, elected representatives surgeries</w:t>
      </w:r>
      <w:r w:rsidR="00D54668">
        <w:t xml:space="preserve"> and</w:t>
      </w:r>
      <w:r>
        <w:t xml:space="preserve"> training sessions</w:t>
      </w:r>
      <w:r w:rsidR="00D54668">
        <w:t>. Initial projections have been based on a hire fee of £8.33 an hour and 5 hourly hires per week.</w:t>
      </w:r>
    </w:p>
    <w:tbl>
      <w:tblPr>
        <w:tblStyle w:val="TableGrid"/>
        <w:tblW w:w="0" w:type="auto"/>
        <w:tblInd w:w="913" w:type="dxa"/>
        <w:tblLook w:val="04A0" w:firstRow="1" w:lastRow="0" w:firstColumn="1" w:lastColumn="0" w:noHBand="0" w:noVBand="1"/>
      </w:tblPr>
      <w:tblGrid>
        <w:gridCol w:w="3940"/>
        <w:gridCol w:w="1040"/>
        <w:gridCol w:w="1040"/>
        <w:gridCol w:w="1200"/>
      </w:tblGrid>
      <w:tr w:rsidR="00D54668" w:rsidRPr="00D54668" w:rsidTr="00D54668">
        <w:trPr>
          <w:trHeight w:val="900"/>
        </w:trPr>
        <w:tc>
          <w:tcPr>
            <w:tcW w:w="3940" w:type="dxa"/>
            <w:noWrap/>
            <w:hideMark/>
          </w:tcPr>
          <w:p w:rsidR="00D54668" w:rsidRPr="00D54668" w:rsidRDefault="00D54668">
            <w:pPr>
              <w:rPr>
                <w:b/>
                <w:bCs/>
                <w:u w:val="single"/>
              </w:rPr>
            </w:pPr>
            <w:r w:rsidRPr="00D54668">
              <w:rPr>
                <w:b/>
                <w:bCs/>
                <w:u w:val="single"/>
              </w:rPr>
              <w:t xml:space="preserve">Meeting Room 1 </w:t>
            </w:r>
          </w:p>
        </w:tc>
        <w:tc>
          <w:tcPr>
            <w:tcW w:w="1040" w:type="dxa"/>
            <w:hideMark/>
          </w:tcPr>
          <w:p w:rsidR="00D54668" w:rsidRPr="00D54668" w:rsidRDefault="00D54668">
            <w:r w:rsidRPr="00D54668">
              <w:t xml:space="preserve">hourly hires per week </w:t>
            </w:r>
          </w:p>
        </w:tc>
        <w:tc>
          <w:tcPr>
            <w:tcW w:w="1040" w:type="dxa"/>
            <w:hideMark/>
          </w:tcPr>
          <w:p w:rsidR="00D54668" w:rsidRPr="00D54668" w:rsidRDefault="00D54668">
            <w:r w:rsidRPr="00D54668">
              <w:t>Fee</w:t>
            </w:r>
          </w:p>
        </w:tc>
        <w:tc>
          <w:tcPr>
            <w:tcW w:w="1200" w:type="dxa"/>
            <w:hideMark/>
          </w:tcPr>
          <w:p w:rsidR="00D54668" w:rsidRPr="00D54668" w:rsidRDefault="00D54668">
            <w:r w:rsidRPr="00D54668">
              <w:t xml:space="preserve">Income per year </w:t>
            </w:r>
          </w:p>
        </w:tc>
      </w:tr>
      <w:tr w:rsidR="00D54668" w:rsidRPr="00D54668" w:rsidTr="00D54668">
        <w:trPr>
          <w:trHeight w:val="300"/>
        </w:trPr>
        <w:tc>
          <w:tcPr>
            <w:tcW w:w="3940" w:type="dxa"/>
            <w:noWrap/>
            <w:hideMark/>
          </w:tcPr>
          <w:p w:rsidR="00D54668" w:rsidRPr="00D54668" w:rsidRDefault="00D54668" w:rsidP="00D54668">
            <w:r w:rsidRPr="00D54668">
              <w:t xml:space="preserve">Room Hire </w:t>
            </w:r>
          </w:p>
        </w:tc>
        <w:tc>
          <w:tcPr>
            <w:tcW w:w="1040" w:type="dxa"/>
            <w:noWrap/>
            <w:hideMark/>
          </w:tcPr>
          <w:p w:rsidR="00D54668" w:rsidRPr="00D54668" w:rsidRDefault="00D54668" w:rsidP="00D54668">
            <w:r w:rsidRPr="00D54668">
              <w:t>5</w:t>
            </w:r>
          </w:p>
        </w:tc>
        <w:tc>
          <w:tcPr>
            <w:tcW w:w="1040" w:type="dxa"/>
            <w:noWrap/>
            <w:hideMark/>
          </w:tcPr>
          <w:p w:rsidR="00D54668" w:rsidRPr="00D54668" w:rsidRDefault="00D54668" w:rsidP="00D54668">
            <w:r w:rsidRPr="00D54668">
              <w:t>£8.33</w:t>
            </w:r>
          </w:p>
        </w:tc>
        <w:tc>
          <w:tcPr>
            <w:tcW w:w="1200" w:type="dxa"/>
            <w:noWrap/>
            <w:hideMark/>
          </w:tcPr>
          <w:p w:rsidR="00D54668" w:rsidRPr="00D54668" w:rsidRDefault="00D54668" w:rsidP="00D54668">
            <w:r w:rsidRPr="00D54668">
              <w:t>£2,167</w:t>
            </w:r>
          </w:p>
        </w:tc>
      </w:tr>
    </w:tbl>
    <w:p w:rsidR="00D54668" w:rsidRDefault="00D54668" w:rsidP="005259EE"/>
    <w:p w:rsidR="005259EE" w:rsidRPr="00D54668" w:rsidRDefault="00D54668" w:rsidP="0073469D">
      <w:pPr>
        <w:pStyle w:val="Heading3"/>
      </w:pPr>
      <w:bookmarkStart w:id="5" w:name="_Toc493491714"/>
      <w:r>
        <w:t>Multifunctional W</w:t>
      </w:r>
      <w:r w:rsidRPr="00D54668">
        <w:t>orkshop</w:t>
      </w:r>
      <w:r>
        <w:t xml:space="preserve"> and Exercise S</w:t>
      </w:r>
      <w:r w:rsidRPr="00D54668">
        <w:t>pace</w:t>
      </w:r>
      <w:bookmarkEnd w:id="5"/>
    </w:p>
    <w:p w:rsidR="00514CDE" w:rsidRDefault="00D54668" w:rsidP="00D54668">
      <w:r>
        <w:t xml:space="preserve">On the first floor of the </w:t>
      </w:r>
      <w:r w:rsidR="000325D1">
        <w:t>Centre</w:t>
      </w:r>
      <w:r>
        <w:t xml:space="preserve"> there will be a</w:t>
      </w:r>
      <w:r w:rsidR="00514CDE">
        <w:t xml:space="preserve"> multifunctional workshop</w:t>
      </w:r>
      <w:r w:rsidR="000325D1">
        <w:t xml:space="preserve"> and </w:t>
      </w:r>
      <w:r w:rsidR="00514CDE">
        <w:t>exercise space that will be available for a range of uses including exercise classes.</w:t>
      </w:r>
      <w:r>
        <w:t xml:space="preserve"> It is envisaged that this space</w:t>
      </w:r>
      <w:r w:rsidR="000509C7">
        <w:t xml:space="preserve"> will host the majority of the C</w:t>
      </w:r>
      <w:r>
        <w:t xml:space="preserve">entre’s exercise classes including dance, yoga, and </w:t>
      </w:r>
      <w:proofErr w:type="spellStart"/>
      <w:proofErr w:type="gramStart"/>
      <w:r w:rsidRPr="00D54668">
        <w:t>pilates</w:t>
      </w:r>
      <w:proofErr w:type="spellEnd"/>
      <w:proofErr w:type="gramEnd"/>
      <w:r>
        <w:t xml:space="preserve">. Initial projections have been based on </w:t>
      </w:r>
      <w:r w:rsidR="007B44D2">
        <w:t xml:space="preserve">a hire fee of £12.50 an hour and 15 hourly hires per week. </w:t>
      </w:r>
    </w:p>
    <w:tbl>
      <w:tblPr>
        <w:tblStyle w:val="TableGrid"/>
        <w:tblW w:w="0" w:type="auto"/>
        <w:tblInd w:w="913" w:type="dxa"/>
        <w:tblLook w:val="04A0" w:firstRow="1" w:lastRow="0" w:firstColumn="1" w:lastColumn="0" w:noHBand="0" w:noVBand="1"/>
      </w:tblPr>
      <w:tblGrid>
        <w:gridCol w:w="3940"/>
        <w:gridCol w:w="1040"/>
        <w:gridCol w:w="1040"/>
        <w:gridCol w:w="1200"/>
      </w:tblGrid>
      <w:tr w:rsidR="007B44D2" w:rsidRPr="007B44D2" w:rsidTr="007B44D2">
        <w:trPr>
          <w:trHeight w:val="900"/>
        </w:trPr>
        <w:tc>
          <w:tcPr>
            <w:tcW w:w="3940" w:type="dxa"/>
            <w:noWrap/>
            <w:hideMark/>
          </w:tcPr>
          <w:p w:rsidR="007B44D2" w:rsidRPr="007B44D2" w:rsidRDefault="007B44D2">
            <w:pPr>
              <w:rPr>
                <w:b/>
                <w:bCs/>
                <w:u w:val="single"/>
              </w:rPr>
            </w:pPr>
            <w:r w:rsidRPr="007B44D2">
              <w:rPr>
                <w:b/>
                <w:bCs/>
                <w:u w:val="single"/>
              </w:rPr>
              <w:t xml:space="preserve">Workshop 1 </w:t>
            </w:r>
          </w:p>
        </w:tc>
        <w:tc>
          <w:tcPr>
            <w:tcW w:w="1040" w:type="dxa"/>
            <w:hideMark/>
          </w:tcPr>
          <w:p w:rsidR="007B44D2" w:rsidRPr="007B44D2" w:rsidRDefault="007B44D2">
            <w:r w:rsidRPr="007B44D2">
              <w:t xml:space="preserve">hourly hires per week </w:t>
            </w:r>
          </w:p>
        </w:tc>
        <w:tc>
          <w:tcPr>
            <w:tcW w:w="1040" w:type="dxa"/>
            <w:hideMark/>
          </w:tcPr>
          <w:p w:rsidR="007B44D2" w:rsidRPr="007B44D2" w:rsidRDefault="007B44D2">
            <w:r w:rsidRPr="007B44D2">
              <w:t>Fee</w:t>
            </w:r>
          </w:p>
        </w:tc>
        <w:tc>
          <w:tcPr>
            <w:tcW w:w="1200" w:type="dxa"/>
            <w:hideMark/>
          </w:tcPr>
          <w:p w:rsidR="007B44D2" w:rsidRPr="007B44D2" w:rsidRDefault="007B44D2">
            <w:r w:rsidRPr="007B44D2">
              <w:t xml:space="preserve">Income per year </w:t>
            </w:r>
          </w:p>
        </w:tc>
      </w:tr>
      <w:tr w:rsidR="007B44D2" w:rsidRPr="007B44D2" w:rsidTr="007B44D2">
        <w:trPr>
          <w:trHeight w:val="300"/>
        </w:trPr>
        <w:tc>
          <w:tcPr>
            <w:tcW w:w="3940" w:type="dxa"/>
            <w:noWrap/>
            <w:hideMark/>
          </w:tcPr>
          <w:p w:rsidR="007B44D2" w:rsidRPr="007B44D2" w:rsidRDefault="007B44D2">
            <w:r w:rsidRPr="007B44D2">
              <w:t xml:space="preserve">Workshop Hire </w:t>
            </w:r>
          </w:p>
        </w:tc>
        <w:tc>
          <w:tcPr>
            <w:tcW w:w="1040" w:type="dxa"/>
            <w:noWrap/>
            <w:hideMark/>
          </w:tcPr>
          <w:p w:rsidR="007B44D2" w:rsidRPr="007B44D2" w:rsidRDefault="007B44D2" w:rsidP="007B44D2">
            <w:r w:rsidRPr="007B44D2">
              <w:t>15</w:t>
            </w:r>
          </w:p>
        </w:tc>
        <w:tc>
          <w:tcPr>
            <w:tcW w:w="1040" w:type="dxa"/>
            <w:noWrap/>
            <w:hideMark/>
          </w:tcPr>
          <w:p w:rsidR="007B44D2" w:rsidRPr="007B44D2" w:rsidRDefault="007B44D2" w:rsidP="007B44D2">
            <w:r w:rsidRPr="007B44D2">
              <w:t>£12.50</w:t>
            </w:r>
          </w:p>
        </w:tc>
        <w:tc>
          <w:tcPr>
            <w:tcW w:w="1200" w:type="dxa"/>
            <w:noWrap/>
            <w:hideMark/>
          </w:tcPr>
          <w:p w:rsidR="007B44D2" w:rsidRPr="007B44D2" w:rsidRDefault="007B44D2" w:rsidP="007B44D2">
            <w:r w:rsidRPr="007B44D2">
              <w:t>£9,750</w:t>
            </w:r>
          </w:p>
        </w:tc>
      </w:tr>
    </w:tbl>
    <w:p w:rsidR="00D54668" w:rsidRDefault="00D54668" w:rsidP="00D54668"/>
    <w:p w:rsidR="00D54668" w:rsidRPr="00D54668" w:rsidRDefault="00D54668" w:rsidP="0073469D">
      <w:pPr>
        <w:pStyle w:val="Heading3"/>
      </w:pPr>
      <w:bookmarkStart w:id="6" w:name="_Toc493491715"/>
      <w:r w:rsidRPr="00D54668">
        <w:t>C</w:t>
      </w:r>
      <w:r w:rsidR="00F91A89" w:rsidRPr="00D54668">
        <w:t xml:space="preserve">entre Café </w:t>
      </w:r>
      <w:r w:rsidRPr="00D54668">
        <w:t>and C</w:t>
      </w:r>
      <w:r w:rsidR="00514CDE" w:rsidRPr="00D54668">
        <w:t>hildren</w:t>
      </w:r>
      <w:r w:rsidRPr="00D54668">
        <w:t>’s Soft P</w:t>
      </w:r>
      <w:r w:rsidR="00514CDE" w:rsidRPr="00D54668">
        <w:t xml:space="preserve">lay </w:t>
      </w:r>
      <w:r w:rsidRPr="00D54668">
        <w:t>A</w:t>
      </w:r>
      <w:r w:rsidR="00514CDE" w:rsidRPr="00D54668">
        <w:t>rea</w:t>
      </w:r>
      <w:bookmarkEnd w:id="6"/>
      <w:r w:rsidR="00514CDE" w:rsidRPr="00D54668">
        <w:t xml:space="preserve"> </w:t>
      </w:r>
    </w:p>
    <w:p w:rsidR="00F91A89" w:rsidRDefault="00A15C26" w:rsidP="00D54668">
      <w:r>
        <w:t xml:space="preserve">On the </w:t>
      </w:r>
      <w:r w:rsidR="000325D1">
        <w:t>ground floor of the C</w:t>
      </w:r>
      <w:r>
        <w:t>entre there will be a café and a small children’s soft play space</w:t>
      </w:r>
      <w:r w:rsidR="000325D1">
        <w:t>.</w:t>
      </w:r>
      <w:r>
        <w:t xml:space="preserve"> It is envisaged t</w:t>
      </w:r>
      <w:r w:rsidR="00514CDE">
        <w:t xml:space="preserve">hat </w:t>
      </w:r>
      <w:r>
        <w:t>the café will be</w:t>
      </w:r>
      <w:r w:rsidR="00514CDE">
        <w:t xml:space="preserve"> o</w:t>
      </w:r>
      <w:r>
        <w:t xml:space="preserve">pen approximately 6 hours a day. The menu will include </w:t>
      </w:r>
      <w:r w:rsidR="00514CDE">
        <w:t>soup, sandwiches, snacks, hot drinks, soft drinks and home baking.</w:t>
      </w:r>
      <w:r>
        <w:t xml:space="preserve"> At this stage</w:t>
      </w:r>
      <w:r w:rsidR="000509C7">
        <w:t>,</w:t>
      </w:r>
      <w:r>
        <w:t xml:space="preserve"> it is not envisaged that there will be a separate charge for the soft play. The soft play will act to draw customers to the café. </w:t>
      </w:r>
    </w:p>
    <w:p w:rsidR="000509C7" w:rsidRDefault="000509C7" w:rsidP="007B44D2">
      <w:pPr>
        <w:rPr>
          <w:b/>
          <w:bCs/>
        </w:rPr>
      </w:pPr>
    </w:p>
    <w:p w:rsidR="007B44D2" w:rsidRPr="007B44D2" w:rsidRDefault="007B44D2" w:rsidP="007B44D2">
      <w:pPr>
        <w:rPr>
          <w:b/>
          <w:bCs/>
        </w:rPr>
      </w:pPr>
      <w:r w:rsidRPr="007B44D2">
        <w:rPr>
          <w:b/>
          <w:bCs/>
        </w:rPr>
        <w:lastRenderedPageBreak/>
        <w:t>Key Assumptions for the Cafe</w:t>
      </w:r>
    </w:p>
    <w:p w:rsidR="007B44D2" w:rsidRPr="007B44D2" w:rsidRDefault="007B44D2" w:rsidP="007B44D2">
      <w:r w:rsidRPr="007B44D2">
        <w:t xml:space="preserve">The financial assessment </w:t>
      </w:r>
      <w:r w:rsidR="000325D1">
        <w:t xml:space="preserve">of the café </w:t>
      </w:r>
      <w:r w:rsidRPr="007B44D2">
        <w:t>has been based on some key operational and financial assumptions</w:t>
      </w:r>
      <w:r w:rsidR="00807233">
        <w:t xml:space="preserve">. </w:t>
      </w:r>
    </w:p>
    <w:p w:rsidR="007B44D2" w:rsidRPr="00807233" w:rsidRDefault="007B44D2" w:rsidP="00807233">
      <w:pPr>
        <w:pStyle w:val="ListParagraph"/>
        <w:numPr>
          <w:ilvl w:val="0"/>
          <w:numId w:val="14"/>
        </w:numPr>
      </w:pPr>
      <w:r w:rsidRPr="00807233">
        <w:t>The café will be open for 6 hours a day</w:t>
      </w:r>
      <w:r w:rsidR="000509C7">
        <w:t>,</w:t>
      </w:r>
      <w:r w:rsidRPr="00807233">
        <w:t xml:space="preserve"> 7 days a week</w:t>
      </w:r>
      <w:r w:rsidR="00D814F5">
        <w:t>.</w:t>
      </w:r>
    </w:p>
    <w:p w:rsidR="007B44D2" w:rsidRPr="007B44D2" w:rsidRDefault="00A15C26" w:rsidP="00807233">
      <w:pPr>
        <w:pStyle w:val="ListParagraph"/>
        <w:numPr>
          <w:ilvl w:val="0"/>
          <w:numId w:val="14"/>
        </w:numPr>
      </w:pPr>
      <w:proofErr w:type="gramStart"/>
      <w:r>
        <w:t>An a</w:t>
      </w:r>
      <w:r w:rsidR="007B44D2" w:rsidRPr="007B44D2">
        <w:t>verage spend</w:t>
      </w:r>
      <w:proofErr w:type="gramEnd"/>
      <w:r w:rsidR="007B44D2" w:rsidRPr="007B44D2">
        <w:t xml:space="preserve"> on f</w:t>
      </w:r>
      <w:r w:rsidR="007B44D2">
        <w:t>ood of £2.20</w:t>
      </w:r>
      <w:r w:rsidR="007B44D2" w:rsidRPr="007B44D2">
        <w:t xml:space="preserve"> per customer (</w:t>
      </w:r>
      <w:proofErr w:type="spellStart"/>
      <w:r w:rsidR="007B44D2" w:rsidRPr="007B44D2">
        <w:t>exc</w:t>
      </w:r>
      <w:proofErr w:type="spellEnd"/>
      <w:r w:rsidR="007B44D2" w:rsidRPr="007B44D2">
        <w:t xml:space="preserve"> VAT).</w:t>
      </w:r>
    </w:p>
    <w:p w:rsidR="007B44D2" w:rsidRPr="007B44D2" w:rsidRDefault="00A15C26" w:rsidP="00807233">
      <w:pPr>
        <w:pStyle w:val="ListParagraph"/>
        <w:numPr>
          <w:ilvl w:val="0"/>
          <w:numId w:val="14"/>
        </w:numPr>
      </w:pPr>
      <w:proofErr w:type="gramStart"/>
      <w:r>
        <w:t>An a</w:t>
      </w:r>
      <w:r w:rsidR="007B44D2" w:rsidRPr="007B44D2">
        <w:t>verage spend</w:t>
      </w:r>
      <w:proofErr w:type="gramEnd"/>
      <w:r w:rsidR="007B44D2" w:rsidRPr="007B44D2">
        <w:t xml:space="preserve"> on drink of £</w:t>
      </w:r>
      <w:r w:rsidR="007B44D2">
        <w:t>1.6</w:t>
      </w:r>
      <w:r w:rsidR="007B44D2" w:rsidRPr="007B44D2">
        <w:t>0 per customer (</w:t>
      </w:r>
      <w:proofErr w:type="spellStart"/>
      <w:r w:rsidR="007B44D2" w:rsidRPr="007B44D2">
        <w:t>exc</w:t>
      </w:r>
      <w:proofErr w:type="spellEnd"/>
      <w:r w:rsidR="007B44D2" w:rsidRPr="007B44D2">
        <w:t xml:space="preserve"> VAT).</w:t>
      </w:r>
    </w:p>
    <w:p w:rsidR="007B44D2" w:rsidRPr="007B44D2" w:rsidRDefault="00A15C26" w:rsidP="00807233">
      <w:pPr>
        <w:pStyle w:val="ListParagraph"/>
        <w:numPr>
          <w:ilvl w:val="0"/>
          <w:numId w:val="14"/>
        </w:numPr>
      </w:pPr>
      <w:proofErr w:type="gramStart"/>
      <w:r>
        <w:t>An a</w:t>
      </w:r>
      <w:r w:rsidR="007B44D2" w:rsidRPr="007B44D2">
        <w:t>verage combined spend</w:t>
      </w:r>
      <w:proofErr w:type="gramEnd"/>
      <w:r w:rsidR="007B44D2" w:rsidRPr="007B44D2">
        <w:t xml:space="preserve"> per </w:t>
      </w:r>
      <w:r w:rsidR="007B44D2">
        <w:t>customer of £3.80</w:t>
      </w:r>
      <w:r w:rsidR="007B44D2" w:rsidRPr="007B44D2">
        <w:t xml:space="preserve"> (</w:t>
      </w:r>
      <w:proofErr w:type="spellStart"/>
      <w:r w:rsidR="007B44D2" w:rsidRPr="007B44D2">
        <w:t>exc</w:t>
      </w:r>
      <w:proofErr w:type="spellEnd"/>
      <w:r w:rsidR="007B44D2" w:rsidRPr="007B44D2">
        <w:t xml:space="preserve"> VAT).</w:t>
      </w:r>
    </w:p>
    <w:p w:rsidR="007B44D2" w:rsidRPr="007B44D2" w:rsidRDefault="007B44D2" w:rsidP="00807233">
      <w:pPr>
        <w:pStyle w:val="ListParagraph"/>
        <w:numPr>
          <w:ilvl w:val="0"/>
          <w:numId w:val="14"/>
        </w:numPr>
      </w:pPr>
      <w:r w:rsidRPr="007B44D2">
        <w:t xml:space="preserve">A </w:t>
      </w:r>
      <w:r>
        <w:t>target gross profit on food of 65</w:t>
      </w:r>
      <w:r w:rsidRPr="007B44D2">
        <w:t xml:space="preserve">%. </w:t>
      </w:r>
    </w:p>
    <w:p w:rsidR="007B44D2" w:rsidRPr="007B44D2" w:rsidRDefault="007B44D2" w:rsidP="00807233">
      <w:pPr>
        <w:pStyle w:val="ListParagraph"/>
        <w:numPr>
          <w:ilvl w:val="0"/>
          <w:numId w:val="14"/>
        </w:numPr>
      </w:pPr>
      <w:r w:rsidRPr="007B44D2">
        <w:t>A ta</w:t>
      </w:r>
      <w:r>
        <w:t>rget gross profit on drink of 80</w:t>
      </w:r>
      <w:r w:rsidRPr="007B44D2">
        <w:t xml:space="preserve">%. </w:t>
      </w:r>
    </w:p>
    <w:p w:rsidR="00807233" w:rsidRDefault="007B44D2" w:rsidP="00807233">
      <w:pPr>
        <w:pStyle w:val="ListParagraph"/>
        <w:numPr>
          <w:ilvl w:val="0"/>
          <w:numId w:val="14"/>
        </w:numPr>
      </w:pPr>
      <w:r w:rsidRPr="007B44D2">
        <w:t>A co</w:t>
      </w:r>
      <w:r>
        <w:t>mbined target gross profit of 71</w:t>
      </w:r>
      <w:r w:rsidR="00807233">
        <w:t>%</w:t>
      </w:r>
    </w:p>
    <w:p w:rsidR="007B44D2" w:rsidRDefault="007B44D2" w:rsidP="00807233">
      <w:pPr>
        <w:pStyle w:val="ListParagraph"/>
        <w:numPr>
          <w:ilvl w:val="0"/>
          <w:numId w:val="14"/>
        </w:numPr>
      </w:pPr>
      <w:r w:rsidRPr="007B44D2">
        <w:t xml:space="preserve">A </w:t>
      </w:r>
      <w:r w:rsidR="00807233">
        <w:t xml:space="preserve">staffing profile consisting of two </w:t>
      </w:r>
      <w:r w:rsidR="00E86F9A">
        <w:t>café members of staff</w:t>
      </w:r>
      <w:r w:rsidR="00807233">
        <w:t xml:space="preserve"> working approximately 28 hours per week </w:t>
      </w:r>
      <w:r w:rsidR="00E86F9A">
        <w:t xml:space="preserve">each </w:t>
      </w:r>
      <w:r w:rsidR="00807233">
        <w:t>with two part time café assistants working approximately 11 hours a week</w:t>
      </w:r>
      <w:r w:rsidR="00E86F9A">
        <w:t xml:space="preserve"> each</w:t>
      </w:r>
      <w:r w:rsidR="00807233">
        <w:t xml:space="preserve">.  </w:t>
      </w:r>
    </w:p>
    <w:p w:rsidR="00807233" w:rsidRDefault="00807233" w:rsidP="00807233">
      <w:pPr>
        <w:pStyle w:val="ListParagraph"/>
        <w:numPr>
          <w:ilvl w:val="0"/>
          <w:numId w:val="14"/>
        </w:numPr>
      </w:pPr>
      <w:r>
        <w:t>An average of 50 covers per day.</w:t>
      </w:r>
    </w:p>
    <w:p w:rsidR="00807233" w:rsidRPr="007B44D2" w:rsidRDefault="00807233" w:rsidP="00807233">
      <w:pPr>
        <w:pStyle w:val="ListParagraph"/>
        <w:numPr>
          <w:ilvl w:val="0"/>
          <w:numId w:val="14"/>
        </w:numPr>
      </w:pPr>
      <w:r>
        <w:t xml:space="preserve">An average of £150 a week </w:t>
      </w:r>
      <w:r w:rsidR="00D814F5">
        <w:t>of catering</w:t>
      </w:r>
      <w:r w:rsidR="000325D1">
        <w:t xml:space="preserve"> for internal events including </w:t>
      </w:r>
      <w:r w:rsidR="00D814F5">
        <w:t>children</w:t>
      </w:r>
      <w:r w:rsidR="00E86F9A">
        <w:t>’s parties, catering for events and</w:t>
      </w:r>
      <w:r w:rsidR="00D814F5">
        <w:t xml:space="preserve"> catering for meetings etc. </w:t>
      </w:r>
    </w:p>
    <w:p w:rsidR="007B44D2" w:rsidRDefault="00D814F5" w:rsidP="00D54668">
      <w:r>
        <w:t xml:space="preserve">Income from the café in year 1 </w:t>
      </w:r>
      <w:r w:rsidR="000325D1">
        <w:t>is projected at</w:t>
      </w:r>
      <w:r>
        <w:t xml:space="preserve"> </w:t>
      </w:r>
      <w:r w:rsidRPr="00D814F5">
        <w:t>£74,300</w:t>
      </w:r>
      <w:r>
        <w:t xml:space="preserve"> on the basis of the assumptions outlined above.  </w:t>
      </w:r>
    </w:p>
    <w:p w:rsidR="007B44D2" w:rsidRDefault="007B44D2" w:rsidP="00D54668"/>
    <w:p w:rsidR="007B44D2" w:rsidRPr="007B44D2" w:rsidRDefault="007B44D2" w:rsidP="0073469D">
      <w:pPr>
        <w:pStyle w:val="Heading3"/>
      </w:pPr>
      <w:bookmarkStart w:id="7" w:name="_Toc493491716"/>
      <w:r w:rsidRPr="007B44D2">
        <w:t>External Buildings</w:t>
      </w:r>
      <w:bookmarkEnd w:id="7"/>
      <w:r w:rsidRPr="007B44D2">
        <w:t xml:space="preserve"> </w:t>
      </w:r>
    </w:p>
    <w:p w:rsidR="00514CDE" w:rsidRDefault="00514CDE" w:rsidP="00514CDE">
      <w:r>
        <w:t xml:space="preserve">In addition there are a number of external buildings to the main </w:t>
      </w:r>
      <w:r w:rsidR="00E86F9A">
        <w:t>building;</w:t>
      </w:r>
      <w:r>
        <w:t xml:space="preserve"> </w:t>
      </w:r>
      <w:r w:rsidR="00067FA4">
        <w:t>these facilities have been assessed as being in a reasonable condition and have been well main</w:t>
      </w:r>
      <w:r w:rsidR="000325D1">
        <w:t xml:space="preserve">tained by Angus Council. At </w:t>
      </w:r>
      <w:r>
        <w:t>this stage these</w:t>
      </w:r>
      <w:r w:rsidR="00067FA4">
        <w:t xml:space="preserve"> external buildings </w:t>
      </w:r>
      <w:r>
        <w:t>have been primarily e</w:t>
      </w:r>
      <w:r w:rsidR="00E86F9A">
        <w:t>ar-marked for long term rental. T</w:t>
      </w:r>
      <w:r>
        <w:t xml:space="preserve">hese </w:t>
      </w:r>
      <w:r w:rsidR="00E86F9A">
        <w:t xml:space="preserve">external buildings </w:t>
      </w:r>
      <w:r>
        <w:t>include:</w:t>
      </w:r>
    </w:p>
    <w:p w:rsidR="00F91A89" w:rsidRDefault="00514CDE" w:rsidP="00514CDE">
      <w:pPr>
        <w:pStyle w:val="ListParagraph"/>
        <w:numPr>
          <w:ilvl w:val="0"/>
          <w:numId w:val="11"/>
        </w:numPr>
      </w:pPr>
      <w:r>
        <w:t>A three bedroom house</w:t>
      </w:r>
      <w:r w:rsidR="001779F7">
        <w:t xml:space="preserve"> which has potentially been earmarked as a facility delivering healthcare services, initially </w:t>
      </w:r>
      <w:r w:rsidR="00D814F5">
        <w:t xml:space="preserve">projected to </w:t>
      </w:r>
      <w:r w:rsidR="001779F7">
        <w:t>raise</w:t>
      </w:r>
      <w:r w:rsidR="00D814F5">
        <w:t xml:space="preserve"> </w:t>
      </w:r>
      <w:r w:rsidR="00E86F9A">
        <w:t>£8,400 in rental income per</w:t>
      </w:r>
      <w:r w:rsidR="001779F7">
        <w:t xml:space="preserve"> year.</w:t>
      </w:r>
    </w:p>
    <w:p w:rsidR="00514CDE" w:rsidRDefault="00514CDE" w:rsidP="001779F7">
      <w:pPr>
        <w:pStyle w:val="ListParagraph"/>
        <w:numPr>
          <w:ilvl w:val="0"/>
          <w:numId w:val="11"/>
        </w:numPr>
      </w:pPr>
      <w:r>
        <w:t>One large</w:t>
      </w:r>
      <w:r w:rsidR="001779F7">
        <w:t xml:space="preserve"> external building </w:t>
      </w:r>
      <w:r w:rsidR="00067FA4">
        <w:t>which is 200 metres squared and currently split into three rooms. This has been</w:t>
      </w:r>
      <w:r w:rsidR="001779F7">
        <w:t xml:space="preserve"> pot</w:t>
      </w:r>
      <w:r w:rsidR="00067FA4">
        <w:t>entially earmarked as a nursery and</w:t>
      </w:r>
      <w:r w:rsidR="001779F7">
        <w:t xml:space="preserve"> </w:t>
      </w:r>
      <w:r w:rsidR="001779F7" w:rsidRPr="001779F7">
        <w:t>initially projected to raise £</w:t>
      </w:r>
      <w:r w:rsidR="001779F7">
        <w:t>7,000</w:t>
      </w:r>
      <w:r w:rsidR="001779F7" w:rsidRPr="001779F7">
        <w:t xml:space="preserve"> in </w:t>
      </w:r>
      <w:r w:rsidR="00E86F9A">
        <w:t>rental income per</w:t>
      </w:r>
      <w:r w:rsidR="001779F7" w:rsidRPr="001779F7">
        <w:t xml:space="preserve"> year</w:t>
      </w:r>
      <w:r w:rsidR="001779F7">
        <w:t>.</w:t>
      </w:r>
      <w:r w:rsidR="00067FA4">
        <w:t xml:space="preserve"> </w:t>
      </w:r>
    </w:p>
    <w:p w:rsidR="00E15B58" w:rsidRDefault="00514CDE" w:rsidP="001779F7">
      <w:pPr>
        <w:pStyle w:val="ListParagraph"/>
        <w:numPr>
          <w:ilvl w:val="0"/>
          <w:numId w:val="11"/>
        </w:numPr>
      </w:pPr>
      <w:r>
        <w:t xml:space="preserve">A </w:t>
      </w:r>
      <w:r w:rsidR="00067FA4">
        <w:t xml:space="preserve">medium size external building which is 103 metres squared and </w:t>
      </w:r>
      <w:r w:rsidR="001779F7">
        <w:t xml:space="preserve">includes a kitchen facility, </w:t>
      </w:r>
      <w:r w:rsidR="001779F7" w:rsidRPr="001779F7">
        <w:t>initially projected to raise £</w:t>
      </w:r>
      <w:r w:rsidR="001779F7">
        <w:t>5</w:t>
      </w:r>
      <w:r w:rsidR="001779F7" w:rsidRPr="001779F7">
        <w:t>,000 in rental income a year</w:t>
      </w:r>
      <w:r w:rsidR="00067FA4">
        <w:t>.</w:t>
      </w:r>
    </w:p>
    <w:p w:rsidR="001779F7" w:rsidRDefault="00E15B58" w:rsidP="001779F7">
      <w:pPr>
        <w:pStyle w:val="ListParagraph"/>
        <w:numPr>
          <w:ilvl w:val="0"/>
          <w:numId w:val="11"/>
        </w:numPr>
      </w:pPr>
      <w:r>
        <w:t xml:space="preserve">4 small units which could be used for storage or potentially light industrial business </w:t>
      </w:r>
      <w:r w:rsidR="00FE5E87">
        <w:t xml:space="preserve">units. These units are 22, 29, 34 and 37.5 metres squared respectively. </w:t>
      </w:r>
      <w:r w:rsidR="001779F7">
        <w:t xml:space="preserve"> </w:t>
      </w:r>
      <w:r w:rsidR="00FE5E87" w:rsidRPr="001779F7">
        <w:t>Initially</w:t>
      </w:r>
      <w:r w:rsidR="001779F7" w:rsidRPr="001779F7">
        <w:t xml:space="preserve"> </w:t>
      </w:r>
      <w:r w:rsidR="00FE5E87">
        <w:t xml:space="preserve">the units have been </w:t>
      </w:r>
      <w:r w:rsidR="001779F7" w:rsidRPr="001779F7">
        <w:t xml:space="preserve">projected to </w:t>
      </w:r>
      <w:r w:rsidR="001779F7">
        <w:t xml:space="preserve">collectively </w:t>
      </w:r>
      <w:r w:rsidR="001779F7" w:rsidRPr="001779F7">
        <w:t>raise £</w:t>
      </w:r>
      <w:r w:rsidR="001779F7">
        <w:t>4,800</w:t>
      </w:r>
      <w:r w:rsidR="00FE5E87">
        <w:t xml:space="preserve"> in rental income per</w:t>
      </w:r>
      <w:r w:rsidR="001779F7" w:rsidRPr="001779F7">
        <w:t xml:space="preserve"> year</w:t>
      </w:r>
      <w:r w:rsidR="001779F7">
        <w:t>.</w:t>
      </w:r>
      <w:r w:rsidR="00067FA4">
        <w:t xml:space="preserve"> </w:t>
      </w:r>
    </w:p>
    <w:p w:rsidR="001779F7" w:rsidRDefault="001779F7">
      <w:r>
        <w:br w:type="page"/>
      </w:r>
    </w:p>
    <w:p w:rsidR="001779F7" w:rsidRDefault="001779F7" w:rsidP="001779F7">
      <w:pPr>
        <w:pStyle w:val="Heading2"/>
      </w:pPr>
      <w:bookmarkStart w:id="8" w:name="_Toc493491717"/>
      <w:r>
        <w:lastRenderedPageBreak/>
        <w:t>Projected Centre Expenditure</w:t>
      </w:r>
      <w:bookmarkEnd w:id="8"/>
      <w:r>
        <w:t xml:space="preserve"> </w:t>
      </w:r>
    </w:p>
    <w:p w:rsidR="001779F7" w:rsidRDefault="001779F7" w:rsidP="001779F7"/>
    <w:tbl>
      <w:tblPr>
        <w:tblW w:w="6720" w:type="dxa"/>
        <w:tblInd w:w="93" w:type="dxa"/>
        <w:tblLook w:val="04A0" w:firstRow="1" w:lastRow="0" w:firstColumn="1" w:lastColumn="0" w:noHBand="0" w:noVBand="1"/>
      </w:tblPr>
      <w:tblGrid>
        <w:gridCol w:w="2700"/>
        <w:gridCol w:w="1340"/>
        <w:gridCol w:w="1340"/>
        <w:gridCol w:w="1340"/>
      </w:tblGrid>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Expenditure</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Year 1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3</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Centre Staffing Costs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£92,813</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£94,669</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£96,562</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Café Staffing Costs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£42,840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£43,697</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Café Raw Materials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£20,635</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£21,048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£21,469</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Café Other Costs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£6,600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£6,732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£6,867</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Staff Training Costs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£1,040</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Staff Travel Costs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Volunteer Expenses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Telephone/Internet</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£1,530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£1,561</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Licences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£1,224</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£1,248</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Maintenance sinking fund</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Electric/Gas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£31,620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£32,252</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Professional Fees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Marketing/Online bookings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Insurance</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£5,202</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Stationery and supplies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Equipment Replacement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£4,000</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Grounds Maintenance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£1,040</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Miscellaneous</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£5,202</w:t>
            </w:r>
          </w:p>
        </w:tc>
      </w:tr>
      <w:tr w:rsidR="00471A43" w:rsidRPr="00471A43" w:rsidTr="00471A43">
        <w:trPr>
          <w:trHeight w:val="300"/>
        </w:trPr>
        <w:tc>
          <w:tcPr>
            <w:tcW w:w="270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Total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£219,248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£227,572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£233,984</w:t>
            </w:r>
          </w:p>
        </w:tc>
      </w:tr>
    </w:tbl>
    <w:p w:rsidR="00FE5E87" w:rsidRDefault="00FE5E87" w:rsidP="00F079EA">
      <w:pPr>
        <w:pStyle w:val="Heading2"/>
      </w:pPr>
    </w:p>
    <w:p w:rsidR="001779F7" w:rsidRPr="00C76B99" w:rsidRDefault="00C76B99" w:rsidP="00F079EA">
      <w:pPr>
        <w:pStyle w:val="Heading2"/>
      </w:pPr>
      <w:bookmarkStart w:id="9" w:name="_Toc493491718"/>
      <w:r w:rsidRPr="00C76B99">
        <w:t>Staffing Structure</w:t>
      </w:r>
      <w:bookmarkEnd w:id="9"/>
      <w:r w:rsidRPr="00C76B99">
        <w:t xml:space="preserve"> </w:t>
      </w:r>
    </w:p>
    <w:tbl>
      <w:tblPr>
        <w:tblW w:w="5340" w:type="dxa"/>
        <w:tblInd w:w="93" w:type="dxa"/>
        <w:tblLook w:val="04A0" w:firstRow="1" w:lastRow="0" w:firstColumn="1" w:lastColumn="0" w:noHBand="0" w:noVBand="1"/>
      </w:tblPr>
      <w:tblGrid>
        <w:gridCol w:w="3000"/>
        <w:gridCol w:w="1160"/>
        <w:gridCol w:w="1180"/>
      </w:tblGrid>
      <w:tr w:rsidR="00635FE1" w:rsidRPr="00635FE1" w:rsidTr="00635FE1">
        <w:trPr>
          <w:trHeight w:val="6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b/>
                <w:color w:val="000000"/>
                <w:lang w:eastAsia="en-GB"/>
              </w:rPr>
            </w:pPr>
            <w:r w:rsidRPr="00635FE1">
              <w:rPr>
                <w:rFonts w:ascii="Calibri" w:eastAsia="Times New Roman" w:hAnsi="Calibri" w:cs="Calibri"/>
                <w:b/>
                <w:color w:val="000000"/>
                <w:lang w:eastAsia="en-GB"/>
              </w:rPr>
              <w:t xml:space="preserve">Position </w:t>
            </w:r>
          </w:p>
        </w:tc>
        <w:tc>
          <w:tcPr>
            <w:tcW w:w="1160" w:type="dxa"/>
            <w:tcBorders>
              <w:top w:val="nil"/>
              <w:left w:val="nil"/>
              <w:bottom w:val="nil"/>
              <w:right w:val="nil"/>
            </w:tcBorders>
            <w:shd w:val="clear" w:color="auto" w:fill="auto"/>
            <w:vAlign w:val="bottom"/>
            <w:hideMark/>
          </w:tcPr>
          <w:p w:rsidR="00635FE1" w:rsidRPr="00635FE1" w:rsidRDefault="00635FE1" w:rsidP="00635FE1">
            <w:pPr>
              <w:spacing w:after="0" w:line="240" w:lineRule="auto"/>
              <w:rPr>
                <w:rFonts w:ascii="Calibri" w:eastAsia="Times New Roman" w:hAnsi="Calibri" w:cs="Calibri"/>
                <w:b/>
                <w:color w:val="000000"/>
                <w:lang w:eastAsia="en-GB"/>
              </w:rPr>
            </w:pPr>
            <w:r w:rsidRPr="00635FE1">
              <w:rPr>
                <w:rFonts w:ascii="Calibri" w:eastAsia="Times New Roman" w:hAnsi="Calibri" w:cs="Calibri"/>
                <w:b/>
                <w:color w:val="000000"/>
                <w:lang w:eastAsia="en-GB"/>
              </w:rPr>
              <w:t>Salary</w:t>
            </w:r>
            <w:r w:rsidR="00F079EA">
              <w:rPr>
                <w:rFonts w:ascii="Calibri" w:eastAsia="Times New Roman" w:hAnsi="Calibri" w:cs="Calibri"/>
                <w:b/>
                <w:color w:val="000000"/>
                <w:lang w:eastAsia="en-GB"/>
              </w:rPr>
              <w:t xml:space="preserve"> costs</w:t>
            </w:r>
          </w:p>
        </w:tc>
        <w:tc>
          <w:tcPr>
            <w:tcW w:w="1180" w:type="dxa"/>
            <w:tcBorders>
              <w:top w:val="nil"/>
              <w:left w:val="nil"/>
              <w:bottom w:val="nil"/>
              <w:right w:val="nil"/>
            </w:tcBorders>
            <w:shd w:val="clear" w:color="auto" w:fill="auto"/>
            <w:vAlign w:val="bottom"/>
            <w:hideMark/>
          </w:tcPr>
          <w:p w:rsidR="00635FE1" w:rsidRPr="00635FE1" w:rsidRDefault="00635FE1" w:rsidP="00635FE1">
            <w:pPr>
              <w:spacing w:after="0" w:line="240" w:lineRule="auto"/>
              <w:rPr>
                <w:rFonts w:ascii="Calibri" w:eastAsia="Times New Roman" w:hAnsi="Calibri" w:cs="Calibri"/>
                <w:b/>
                <w:color w:val="000000"/>
                <w:lang w:eastAsia="en-GB"/>
              </w:rPr>
            </w:pPr>
            <w:r w:rsidRPr="00635FE1">
              <w:rPr>
                <w:rFonts w:ascii="Calibri" w:eastAsia="Times New Roman" w:hAnsi="Calibri" w:cs="Calibri"/>
                <w:b/>
                <w:color w:val="000000"/>
                <w:lang w:eastAsia="en-GB"/>
              </w:rPr>
              <w:t>Hours Per Week</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 xml:space="preserve">Centre Manager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£27,500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37.5</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 xml:space="preserve">Assistant Manager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£20,000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37.5</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 xml:space="preserve">Assistant Manager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£20,000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37.5</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Janitorial Staff</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£8,000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21</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Admin Assistant</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£7,000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21</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Temporary Staff</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£10,313</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As required</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1547FE" w:rsidP="00E86F9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Café </w:t>
            </w:r>
            <w:r w:rsidR="00E86F9A">
              <w:rPr>
                <w:rFonts w:ascii="Calibri" w:eastAsia="Times New Roman" w:hAnsi="Calibri" w:cs="Calibri"/>
                <w:color w:val="000000"/>
                <w:lang w:eastAsia="en-GB"/>
              </w:rPr>
              <w:t>Staff Member</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£15,000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28</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1547FE" w:rsidP="00E86F9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Café </w:t>
            </w:r>
            <w:r w:rsidR="00E86F9A">
              <w:rPr>
                <w:rFonts w:ascii="Calibri" w:eastAsia="Times New Roman" w:hAnsi="Calibri" w:cs="Calibri"/>
                <w:color w:val="000000"/>
                <w:lang w:eastAsia="en-GB"/>
              </w:rPr>
              <w:t>Staff Member</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£15,000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28</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 xml:space="preserve">Café Assistant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£6,000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16</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color w:val="000000"/>
                <w:lang w:eastAsia="en-GB"/>
              </w:rPr>
            </w:pPr>
            <w:r w:rsidRPr="00635FE1">
              <w:rPr>
                <w:rFonts w:ascii="Calibri" w:eastAsia="Times New Roman" w:hAnsi="Calibri" w:cs="Calibri"/>
                <w:color w:val="000000"/>
                <w:lang w:eastAsia="en-GB"/>
              </w:rPr>
              <w:t xml:space="preserve">Café Assistant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£6,000</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color w:val="000000"/>
                <w:lang w:eastAsia="en-GB"/>
              </w:rPr>
            </w:pPr>
            <w:r w:rsidRPr="00635FE1">
              <w:rPr>
                <w:rFonts w:ascii="Calibri" w:eastAsia="Times New Roman" w:hAnsi="Calibri" w:cs="Calibri"/>
                <w:color w:val="000000"/>
                <w:lang w:eastAsia="en-GB"/>
              </w:rPr>
              <w:t>16</w:t>
            </w:r>
          </w:p>
        </w:tc>
      </w:tr>
      <w:tr w:rsidR="00635FE1" w:rsidRPr="00635FE1" w:rsidTr="00635FE1">
        <w:trPr>
          <w:trHeight w:val="300"/>
        </w:trPr>
        <w:tc>
          <w:tcPr>
            <w:tcW w:w="300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rPr>
                <w:rFonts w:ascii="Calibri" w:eastAsia="Times New Roman" w:hAnsi="Calibri" w:cs="Calibri"/>
                <w:b/>
                <w:color w:val="000000"/>
                <w:lang w:eastAsia="en-GB"/>
              </w:rPr>
            </w:pPr>
            <w:r w:rsidRPr="00635FE1">
              <w:rPr>
                <w:rFonts w:ascii="Calibri" w:eastAsia="Times New Roman" w:hAnsi="Calibri" w:cs="Calibri"/>
                <w:b/>
                <w:color w:val="000000"/>
                <w:lang w:eastAsia="en-GB"/>
              </w:rPr>
              <w:t xml:space="preserve">Total </w:t>
            </w:r>
          </w:p>
        </w:tc>
        <w:tc>
          <w:tcPr>
            <w:tcW w:w="116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b/>
                <w:color w:val="000000"/>
                <w:lang w:eastAsia="en-GB"/>
              </w:rPr>
            </w:pPr>
            <w:r w:rsidRPr="00635FE1">
              <w:rPr>
                <w:rFonts w:ascii="Calibri" w:eastAsia="Times New Roman" w:hAnsi="Calibri" w:cs="Calibri"/>
                <w:b/>
                <w:color w:val="000000"/>
                <w:lang w:eastAsia="en-GB"/>
              </w:rPr>
              <w:t>£134,813</w:t>
            </w:r>
          </w:p>
        </w:tc>
        <w:tc>
          <w:tcPr>
            <w:tcW w:w="1180" w:type="dxa"/>
            <w:tcBorders>
              <w:top w:val="nil"/>
              <w:left w:val="nil"/>
              <w:bottom w:val="nil"/>
              <w:right w:val="nil"/>
            </w:tcBorders>
            <w:shd w:val="clear" w:color="auto" w:fill="auto"/>
            <w:noWrap/>
            <w:vAlign w:val="bottom"/>
            <w:hideMark/>
          </w:tcPr>
          <w:p w:rsidR="00635FE1" w:rsidRPr="00635FE1" w:rsidRDefault="00635FE1" w:rsidP="00635FE1">
            <w:pPr>
              <w:spacing w:after="0" w:line="240" w:lineRule="auto"/>
              <w:jc w:val="right"/>
              <w:rPr>
                <w:rFonts w:ascii="Calibri" w:eastAsia="Times New Roman" w:hAnsi="Calibri" w:cs="Calibri"/>
                <w:b/>
                <w:color w:val="000000"/>
                <w:lang w:eastAsia="en-GB"/>
              </w:rPr>
            </w:pPr>
            <w:r w:rsidRPr="00635FE1">
              <w:rPr>
                <w:rFonts w:ascii="Calibri" w:eastAsia="Times New Roman" w:hAnsi="Calibri" w:cs="Calibri"/>
                <w:b/>
                <w:color w:val="000000"/>
                <w:lang w:eastAsia="en-GB"/>
              </w:rPr>
              <w:t>242.5</w:t>
            </w:r>
          </w:p>
        </w:tc>
      </w:tr>
    </w:tbl>
    <w:p w:rsidR="001779F7" w:rsidRPr="001779F7" w:rsidRDefault="001779F7" w:rsidP="001779F7"/>
    <w:p w:rsidR="00424E74" w:rsidRDefault="00F079EA" w:rsidP="00F079EA">
      <w:pPr>
        <w:pStyle w:val="ListParagraph"/>
        <w:numPr>
          <w:ilvl w:val="0"/>
          <w:numId w:val="15"/>
        </w:numPr>
      </w:pPr>
      <w:r>
        <w:t>Staffing cos</w:t>
      </w:r>
      <w:r w:rsidR="00FE5E87">
        <w:t>ts will be the highest</w:t>
      </w:r>
      <w:r>
        <w:t xml:space="preserve"> outlay </w:t>
      </w:r>
      <w:r w:rsidR="000509C7">
        <w:t xml:space="preserve">for the Centre </w:t>
      </w:r>
      <w:r>
        <w:t xml:space="preserve">and </w:t>
      </w:r>
      <w:r w:rsidR="00FE5E87">
        <w:t>are projected to</w:t>
      </w:r>
      <w:r>
        <w:t xml:space="preserve"> account for around 63% of all organisational expenditure</w:t>
      </w:r>
      <w:r w:rsidR="00FE5E87">
        <w:t>. Staffing costs have</w:t>
      </w:r>
      <w:r w:rsidRPr="00F079EA">
        <w:t xml:space="preserve"> been estimated at £134,813 in the first year.</w:t>
      </w:r>
      <w:r>
        <w:t xml:space="preserve"> The staffing structure highlighted above has been designed to </w:t>
      </w:r>
      <w:r w:rsidR="00FE5E87">
        <w:lastRenderedPageBreak/>
        <w:t>enable the Centre to function adequately</w:t>
      </w:r>
      <w:r>
        <w:t>. The proposed staffing structure will be augmented by volunteer support</w:t>
      </w:r>
      <w:r w:rsidR="00FE5E87">
        <w:t xml:space="preserve"> and trainees</w:t>
      </w:r>
      <w:r>
        <w:t xml:space="preserve"> where appropriate.  </w:t>
      </w:r>
    </w:p>
    <w:p w:rsidR="00F64865" w:rsidRDefault="00F079EA" w:rsidP="00F64865">
      <w:pPr>
        <w:pStyle w:val="ListParagraph"/>
        <w:numPr>
          <w:ilvl w:val="0"/>
          <w:numId w:val="15"/>
        </w:numPr>
      </w:pPr>
      <w:r>
        <w:t>Café raw m</w:t>
      </w:r>
      <w:r w:rsidR="00F64865">
        <w:t xml:space="preserve">aterials have been based on projected income figures and a target gross profit margin of </w:t>
      </w:r>
      <w:r w:rsidR="00F64865" w:rsidRPr="00F64865">
        <w:t>71%</w:t>
      </w:r>
      <w:r w:rsidR="00F64865">
        <w:t xml:space="preserve"> in the café.</w:t>
      </w:r>
    </w:p>
    <w:p w:rsidR="00F64865" w:rsidRDefault="00F64865" w:rsidP="00F64865">
      <w:pPr>
        <w:pStyle w:val="ListParagraph"/>
        <w:numPr>
          <w:ilvl w:val="0"/>
          <w:numId w:val="15"/>
        </w:numPr>
      </w:pPr>
      <w:r>
        <w:t>Gas and electric costs have been estimated at £</w:t>
      </w:r>
      <w:r w:rsidR="00471A43">
        <w:t>31,000</w:t>
      </w:r>
      <w:r>
        <w:t xml:space="preserve"> per year on </w:t>
      </w:r>
      <w:r w:rsidR="00FE5E87">
        <w:t xml:space="preserve">the advice of </w:t>
      </w:r>
      <w:r w:rsidR="00471A43">
        <w:t>the M&amp;E consultants.</w:t>
      </w:r>
    </w:p>
    <w:p w:rsidR="00F64865" w:rsidRDefault="00F64865" w:rsidP="00F64865">
      <w:pPr>
        <w:pStyle w:val="ListParagraph"/>
        <w:numPr>
          <w:ilvl w:val="0"/>
          <w:numId w:val="15"/>
        </w:numPr>
      </w:pPr>
      <w:r>
        <w:t>Insurance costs have been estimated at £5,000 per year on the basis of similar facilities.</w:t>
      </w:r>
    </w:p>
    <w:p w:rsidR="00F64865" w:rsidRDefault="00F64865" w:rsidP="00F64865">
      <w:pPr>
        <w:pStyle w:val="ListParagraph"/>
        <w:numPr>
          <w:ilvl w:val="0"/>
          <w:numId w:val="15"/>
        </w:numPr>
      </w:pPr>
      <w:r>
        <w:t xml:space="preserve">All other expenditure items have been estimated at this stage. </w:t>
      </w:r>
    </w:p>
    <w:p w:rsidR="00EE3C17" w:rsidRPr="00EE3C17" w:rsidRDefault="00EE3C17" w:rsidP="00EE3C17">
      <w:pPr>
        <w:pStyle w:val="ListParagraph"/>
        <w:numPr>
          <w:ilvl w:val="0"/>
          <w:numId w:val="15"/>
        </w:numPr>
      </w:pPr>
      <w:r w:rsidRPr="00EE3C17">
        <w:t xml:space="preserve">A 2% annual increase in costs has been assumed. The maintenance sinking fund and equipment replacement costs are considerably higher in years 2 and 3. </w:t>
      </w:r>
    </w:p>
    <w:p w:rsidR="00EE3C17" w:rsidRPr="00F64865" w:rsidRDefault="00EE3C17" w:rsidP="00EE3C17">
      <w:pPr>
        <w:pStyle w:val="ListParagraph"/>
      </w:pPr>
    </w:p>
    <w:p w:rsidR="00F079EA" w:rsidRDefault="00F079EA" w:rsidP="00F64865">
      <w:pPr>
        <w:pStyle w:val="ListParagraph"/>
      </w:pPr>
    </w:p>
    <w:p w:rsidR="00424E74" w:rsidRDefault="00424E74" w:rsidP="00424E74"/>
    <w:p w:rsidR="00F64865" w:rsidRDefault="00F64865">
      <w:pPr>
        <w:rPr>
          <w:rFonts w:asciiTheme="majorHAnsi" w:eastAsiaTheme="majorEastAsia" w:hAnsiTheme="majorHAnsi" w:cstheme="majorBidi"/>
          <w:b/>
          <w:bCs/>
          <w:color w:val="4F81BD" w:themeColor="accent1"/>
          <w:sz w:val="26"/>
          <w:szCs w:val="26"/>
        </w:rPr>
      </w:pPr>
      <w:r>
        <w:br w:type="page"/>
      </w:r>
    </w:p>
    <w:p w:rsidR="00BD6297" w:rsidRDefault="00806481" w:rsidP="004D38D3">
      <w:pPr>
        <w:pStyle w:val="Heading2"/>
      </w:pPr>
      <w:bookmarkStart w:id="10" w:name="_Toc493491719"/>
      <w:r>
        <w:lastRenderedPageBreak/>
        <w:t>Financial</w:t>
      </w:r>
      <w:r w:rsidR="004D38D3">
        <w:t xml:space="preserve"> Projections 2017-2020</w:t>
      </w:r>
      <w:bookmarkEnd w:id="10"/>
    </w:p>
    <w:p w:rsidR="004D38D3" w:rsidRDefault="004D38D3" w:rsidP="00BD6297">
      <w:r>
        <w:t xml:space="preserve">The following outlines three year </w:t>
      </w:r>
      <w:r w:rsidR="00D535AC">
        <w:t>financial</w:t>
      </w:r>
      <w:r>
        <w:t xml:space="preserve"> projections </w:t>
      </w:r>
      <w:r w:rsidR="002D13CE">
        <w:t>for the Centre:</w:t>
      </w:r>
    </w:p>
    <w:tbl>
      <w:tblPr>
        <w:tblW w:w="6726" w:type="dxa"/>
        <w:tblInd w:w="93" w:type="dxa"/>
        <w:tblLook w:val="04A0" w:firstRow="1" w:lastRow="0" w:firstColumn="1" w:lastColumn="0" w:noHBand="0" w:noVBand="1"/>
      </w:tblPr>
      <w:tblGrid>
        <w:gridCol w:w="2992"/>
        <w:gridCol w:w="1054"/>
        <w:gridCol w:w="1340"/>
        <w:gridCol w:w="1340"/>
      </w:tblGrid>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rPr>
                <w:rFonts w:ascii="Calibri" w:eastAsia="Times New Roman" w:hAnsi="Calibri" w:cs="Calibri"/>
                <w:color w:val="000000"/>
                <w:lang w:eastAsia="en-GB"/>
              </w:rPr>
            </w:pP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Income Projections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Year 1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3</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Sports Hall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£61,750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£62,985</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£64,245</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Fitness Suite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£22,500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£22,950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£23,409</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Activity Hall 1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£26,000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£26,520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£27,050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Meeting Room 1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£2,167</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£2,210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£2,254</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Workshop 1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£9,750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£9,945</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£10,144</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Workshop Hire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£5,854</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£5,971</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£6,091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Centre Café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£74,300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£75,786</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£77,302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Outbuilding 1 (House)</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£8,400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£8,568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£8,739</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Outbuilding 2 (workshop 2</w:t>
            </w:r>
            <w:r>
              <w:rPr>
                <w:rFonts w:ascii="Calibri" w:eastAsia="Times New Roman" w:hAnsi="Calibri" w:cs="Calibri"/>
                <w:color w:val="000000"/>
                <w:lang w:eastAsia="en-GB"/>
              </w:rPr>
              <w:t>)</w:t>
            </w:r>
            <w:r w:rsidRPr="00471A43">
              <w:rPr>
                <w:rFonts w:ascii="Calibri" w:eastAsia="Times New Roman" w:hAnsi="Calibri" w:cs="Calibri"/>
                <w:color w:val="000000"/>
                <w:lang w:eastAsia="en-GB"/>
              </w:rPr>
              <w:t xml:space="preserve">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£7,140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£7,283</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Outbuilding 3 (side hall)</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4 storage units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£4,800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£4,896</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£4,994</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Total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£227,521</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£232,071</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£236,713</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Expenditure</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Year 1 </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center"/>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Year 3</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Centre Staffing Costs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£92,813</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£94,669</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£96,562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Café Staffing Costs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£42,840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£43,697</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Café Raw Materials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£20,635</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£21,048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£21,469</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Café Other Costs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£6,600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£6,732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£6,867</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Staff Training Costs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£1,040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Staff Travel Costs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Volunteer Expenses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Telephone/Internet</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£1,530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£1,561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Licences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£1,224</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£1,248</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Maintenance sinking fund</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Electric/Gas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£31,620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£32,252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Professional Fees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Marketing/Online bookings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Insurance</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Stationery and supplies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£2,040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£2,081</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Equipment Replacement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£2,000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£4,000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 xml:space="preserve">Grounds Maintenance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£1,020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£1,040</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r w:rsidRPr="00471A43">
              <w:rPr>
                <w:rFonts w:ascii="Calibri" w:eastAsia="Times New Roman" w:hAnsi="Calibri" w:cs="Calibri"/>
                <w:color w:val="000000"/>
                <w:lang w:eastAsia="en-GB"/>
              </w:rPr>
              <w:t>Miscellaneous</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£5,000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£5,100</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color w:val="000000"/>
                <w:lang w:eastAsia="en-GB"/>
              </w:rPr>
            </w:pPr>
            <w:r w:rsidRPr="00471A43">
              <w:rPr>
                <w:rFonts w:ascii="Calibri" w:eastAsia="Times New Roman" w:hAnsi="Calibri" w:cs="Calibri"/>
                <w:color w:val="000000"/>
                <w:lang w:eastAsia="en-GB"/>
              </w:rPr>
              <w:t>£5,202</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Total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£219,248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£227,572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£233,984</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color w:val="000000"/>
                <w:lang w:eastAsia="en-GB"/>
              </w:rPr>
            </w:pP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Income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£227,521</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£232,071</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£236,713</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Expenditure</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£219,248</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£227,572</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£233,984</w:t>
            </w:r>
          </w:p>
        </w:tc>
      </w:tr>
      <w:tr w:rsidR="00471A43" w:rsidRPr="00471A43" w:rsidTr="00471A43">
        <w:trPr>
          <w:trHeight w:val="300"/>
        </w:trPr>
        <w:tc>
          <w:tcPr>
            <w:tcW w:w="2992"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 xml:space="preserve">Profit and Loss </w:t>
            </w:r>
          </w:p>
        </w:tc>
        <w:tc>
          <w:tcPr>
            <w:tcW w:w="1054"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£8,273</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£4,499</w:t>
            </w:r>
          </w:p>
        </w:tc>
        <w:tc>
          <w:tcPr>
            <w:tcW w:w="1340" w:type="dxa"/>
            <w:tcBorders>
              <w:top w:val="nil"/>
              <w:left w:val="nil"/>
              <w:bottom w:val="nil"/>
              <w:right w:val="nil"/>
            </w:tcBorders>
            <w:shd w:val="clear" w:color="auto" w:fill="auto"/>
            <w:noWrap/>
            <w:vAlign w:val="bottom"/>
            <w:hideMark/>
          </w:tcPr>
          <w:p w:rsidR="00471A43" w:rsidRPr="00471A43" w:rsidRDefault="00471A43" w:rsidP="00471A43">
            <w:pPr>
              <w:spacing w:after="0" w:line="240" w:lineRule="auto"/>
              <w:jc w:val="right"/>
              <w:rPr>
                <w:rFonts w:ascii="Calibri" w:eastAsia="Times New Roman" w:hAnsi="Calibri" w:cs="Calibri"/>
                <w:b/>
                <w:bCs/>
                <w:color w:val="000000"/>
                <w:lang w:eastAsia="en-GB"/>
              </w:rPr>
            </w:pPr>
            <w:r w:rsidRPr="00471A43">
              <w:rPr>
                <w:rFonts w:ascii="Calibri" w:eastAsia="Times New Roman" w:hAnsi="Calibri" w:cs="Calibri"/>
                <w:b/>
                <w:bCs/>
                <w:color w:val="000000"/>
                <w:lang w:eastAsia="en-GB"/>
              </w:rPr>
              <w:t>£2,729</w:t>
            </w:r>
          </w:p>
        </w:tc>
      </w:tr>
    </w:tbl>
    <w:p w:rsidR="00DC0216" w:rsidRDefault="00DC0216" w:rsidP="00BD6297">
      <w:pPr>
        <w:sectPr w:rsidR="00DC0216" w:rsidSect="00391CCB">
          <w:pgSz w:w="11906" w:h="16838"/>
          <w:pgMar w:top="1440" w:right="1440" w:bottom="1440" w:left="1440" w:header="708" w:footer="708" w:gutter="0"/>
          <w:pgNumType w:start="0"/>
          <w:cols w:space="708"/>
          <w:titlePg/>
          <w:docGrid w:linePitch="360"/>
        </w:sectPr>
      </w:pPr>
    </w:p>
    <w:p w:rsidR="00D756B7" w:rsidRDefault="00BE47A9" w:rsidP="00D756B7">
      <w:pPr>
        <w:pStyle w:val="Heading2"/>
      </w:pPr>
      <w:bookmarkStart w:id="11" w:name="_Toc493491720"/>
      <w:r>
        <w:lastRenderedPageBreak/>
        <w:t xml:space="preserve">A Review of the </w:t>
      </w:r>
      <w:r w:rsidR="002D13CE">
        <w:t>Centre</w:t>
      </w:r>
      <w:r>
        <w:t>’s</w:t>
      </w:r>
      <w:r w:rsidR="002D13CE">
        <w:t xml:space="preserve"> </w:t>
      </w:r>
      <w:r w:rsidR="00806481">
        <w:t xml:space="preserve">Financial </w:t>
      </w:r>
      <w:r w:rsidR="002D13CE">
        <w:t>Sustainability</w:t>
      </w:r>
      <w:bookmarkEnd w:id="11"/>
      <w:r w:rsidR="002D13CE">
        <w:t xml:space="preserve"> </w:t>
      </w:r>
    </w:p>
    <w:p w:rsidR="00583381" w:rsidRPr="00583381" w:rsidRDefault="00583381" w:rsidP="00583381"/>
    <w:p w:rsidR="00F64865" w:rsidRPr="005D74DA" w:rsidRDefault="00F64865" w:rsidP="00391CCB">
      <w:r>
        <w:rPr>
          <w:b/>
        </w:rPr>
        <w:t>Balancing the Use of the Centre’s</w:t>
      </w:r>
      <w:r w:rsidR="000325D1">
        <w:rPr>
          <w:b/>
        </w:rPr>
        <w:t xml:space="preserve"> F</w:t>
      </w:r>
      <w:r>
        <w:rPr>
          <w:b/>
        </w:rPr>
        <w:t xml:space="preserve">acilities </w:t>
      </w:r>
      <w:r w:rsidR="005D74DA">
        <w:rPr>
          <w:b/>
        </w:rPr>
        <w:t>–</w:t>
      </w:r>
      <w:r w:rsidR="00DE4BF7">
        <w:rPr>
          <w:b/>
        </w:rPr>
        <w:t xml:space="preserve"> </w:t>
      </w:r>
      <w:r w:rsidR="005D74DA">
        <w:t>The current model is based on retaining the facilities in the main building for short-term lets to individuals and organisations whilst offering up the external buildings to organisations for long term lease. Balancing the use of Centre’s facilities in this way presents the opportunity for a sustainable business model.</w:t>
      </w:r>
      <w:r w:rsidR="00A60C02">
        <w:t xml:space="preserve"> Demand for the Centre’s facilities will dictate whether more space is made available for short-term lets</w:t>
      </w:r>
      <w:r w:rsidR="005D74DA">
        <w:t xml:space="preserve"> </w:t>
      </w:r>
      <w:r w:rsidR="00EE3C17">
        <w:t>in the external buildings.</w:t>
      </w:r>
    </w:p>
    <w:p w:rsidR="00F64865" w:rsidRPr="00BD00A4" w:rsidRDefault="00A60C02" w:rsidP="00391CCB">
      <w:pPr>
        <w:rPr>
          <w:b/>
        </w:rPr>
      </w:pPr>
      <w:r>
        <w:rPr>
          <w:b/>
        </w:rPr>
        <w:t xml:space="preserve">Assumptions for Letting Programme – </w:t>
      </w:r>
      <w:r w:rsidRPr="00A60C02">
        <w:t xml:space="preserve">The basis for the </w:t>
      </w:r>
      <w:r>
        <w:t>a</w:t>
      </w:r>
      <w:r w:rsidRPr="00A60C02">
        <w:t>ssumptions</w:t>
      </w:r>
      <w:r>
        <w:t xml:space="preserve"> </w:t>
      </w:r>
      <w:r w:rsidR="00D61FCB">
        <w:t xml:space="preserve">of the letting programme </w:t>
      </w:r>
      <w:r>
        <w:t>and therefore the financial projections</w:t>
      </w:r>
      <w:r w:rsidR="00D61FCB">
        <w:t xml:space="preserve"> have been developed</w:t>
      </w:r>
      <w:r>
        <w:t xml:space="preserve"> conservative</w:t>
      </w:r>
      <w:r w:rsidR="00D61FCB">
        <w:t>ly</w:t>
      </w:r>
      <w:r>
        <w:t xml:space="preserve">. There are a number areas where-by the demand for the </w:t>
      </w:r>
      <w:r w:rsidR="00EE3C17">
        <w:t xml:space="preserve">proposed </w:t>
      </w:r>
      <w:r>
        <w:t xml:space="preserve">facilities </w:t>
      </w:r>
      <w:r w:rsidR="00EE3C17">
        <w:t xml:space="preserve">is </w:t>
      </w:r>
      <w:r w:rsidR="00D61FCB">
        <w:t>in excess of what has been projected. For example, the usage of the multifunctional workshop and exercise s</w:t>
      </w:r>
      <w:r w:rsidR="00D61FCB" w:rsidRPr="00D61FCB">
        <w:t>pace</w:t>
      </w:r>
      <w:r w:rsidR="00D61FCB">
        <w:t xml:space="preserve"> has been projected at 15 hourly hires a week; however expressions of interest in th</w:t>
      </w:r>
      <w:r w:rsidR="00EE3C17">
        <w:t>is</w:t>
      </w:r>
      <w:r w:rsidR="00D61FCB">
        <w:t xml:space="preserve"> space for dance classes alone are already well in excess of 15 hours a week.  </w:t>
      </w:r>
      <w:r w:rsidR="00BD00A4">
        <w:t>Despite the</w:t>
      </w:r>
      <w:r w:rsidR="00BD00A4" w:rsidRPr="00BD00A4">
        <w:t xml:space="preserve"> conservative</w:t>
      </w:r>
      <w:r w:rsidR="00DE4BF7">
        <w:t xml:space="preserve"> proje</w:t>
      </w:r>
      <w:r w:rsidR="002C250A">
        <w:t xml:space="preserve">ctions </w:t>
      </w:r>
      <w:r w:rsidR="00BD00A4">
        <w:t xml:space="preserve">for the letting programme </w:t>
      </w:r>
      <w:r w:rsidR="002C250A">
        <w:t xml:space="preserve">the </w:t>
      </w:r>
      <w:r w:rsidR="00BD00A4">
        <w:t xml:space="preserve">current financial projections indicate that the </w:t>
      </w:r>
      <w:r w:rsidR="002C250A">
        <w:t>C</w:t>
      </w:r>
      <w:r w:rsidR="00DE4BF7">
        <w:t>entre can operate su</w:t>
      </w:r>
      <w:r>
        <w:t>stainably through its</w:t>
      </w:r>
      <w:r w:rsidR="00DE4BF7">
        <w:t xml:space="preserve"> </w:t>
      </w:r>
      <w:r w:rsidR="00EE3C17">
        <w:t>self-generated income</w:t>
      </w:r>
      <w:r w:rsidR="00BD00A4">
        <w:t>.</w:t>
      </w:r>
    </w:p>
    <w:p w:rsidR="00DE4BF7" w:rsidRPr="00DE4BF7" w:rsidRDefault="002C250A" w:rsidP="00831705">
      <w:r>
        <w:rPr>
          <w:b/>
        </w:rPr>
        <w:t>Grant</w:t>
      </w:r>
      <w:r w:rsidR="00DE4BF7" w:rsidRPr="00DE4BF7">
        <w:rPr>
          <w:b/>
        </w:rPr>
        <w:t xml:space="preserve"> Funding </w:t>
      </w:r>
      <w:r w:rsidR="00DE4BF7">
        <w:rPr>
          <w:b/>
        </w:rPr>
        <w:t xml:space="preserve">– </w:t>
      </w:r>
      <w:r w:rsidR="00DE4BF7">
        <w:t xml:space="preserve">No contribution has been shown at this point </w:t>
      </w:r>
      <w:r w:rsidR="00EE3C17">
        <w:t xml:space="preserve">for </w:t>
      </w:r>
      <w:r w:rsidR="00DE4BF7">
        <w:t>on ongoing reven</w:t>
      </w:r>
      <w:r w:rsidR="000509C7">
        <w:t>ue funding as</w:t>
      </w:r>
      <w:r>
        <w:t xml:space="preserve"> it is important that Centre can run without relying on grant funding to cover core costs. However grant funding will applied for that focusses on project funding. </w:t>
      </w:r>
    </w:p>
    <w:p w:rsidR="00BD00A4" w:rsidRDefault="00855D5B" w:rsidP="00C05A06">
      <w:pPr>
        <w:rPr>
          <w:rFonts w:ascii="Calibri" w:eastAsia="Calibri" w:hAnsi="Calibri" w:cs="Times New Roman"/>
        </w:rPr>
      </w:pPr>
      <w:r>
        <w:rPr>
          <w:rFonts w:ascii="Calibri" w:eastAsia="Calibri" w:hAnsi="Calibri" w:cs="Times New Roman"/>
          <w:b/>
        </w:rPr>
        <w:t xml:space="preserve">Contingency Plans - </w:t>
      </w:r>
      <w:r w:rsidR="002C250A" w:rsidRPr="002C250A">
        <w:rPr>
          <w:rFonts w:ascii="Calibri" w:eastAsia="Calibri" w:hAnsi="Calibri" w:cs="Times New Roman"/>
        </w:rPr>
        <w:t xml:space="preserve">More than </w:t>
      </w:r>
      <w:r>
        <w:rPr>
          <w:rFonts w:ascii="Calibri" w:eastAsia="Calibri" w:hAnsi="Calibri" w:cs="Times New Roman"/>
        </w:rPr>
        <w:t>60% of MCRG’s</w:t>
      </w:r>
      <w:r w:rsidR="002C250A" w:rsidRPr="002C250A">
        <w:rPr>
          <w:rFonts w:ascii="Calibri" w:eastAsia="Calibri" w:hAnsi="Calibri" w:cs="Times New Roman"/>
        </w:rPr>
        <w:t xml:space="preserve"> projected expenditure is on the staff wage costs. Although </w:t>
      </w:r>
      <w:r>
        <w:rPr>
          <w:rFonts w:ascii="Calibri" w:eastAsia="Calibri" w:hAnsi="Calibri" w:cs="Times New Roman"/>
        </w:rPr>
        <w:t>MCRG</w:t>
      </w:r>
      <w:r w:rsidR="002C250A" w:rsidRPr="002C250A">
        <w:rPr>
          <w:rFonts w:ascii="Calibri" w:eastAsia="Calibri" w:hAnsi="Calibri" w:cs="Times New Roman"/>
        </w:rPr>
        <w:t xml:space="preserve"> believe that the proposed staffing structure will enable the organisation to operate as effectively as possible</w:t>
      </w:r>
      <w:r w:rsidR="000509C7">
        <w:rPr>
          <w:rFonts w:ascii="Calibri" w:eastAsia="Calibri" w:hAnsi="Calibri" w:cs="Times New Roman"/>
        </w:rPr>
        <w:t>,</w:t>
      </w:r>
      <w:r w:rsidR="000509C7" w:rsidRPr="002C250A">
        <w:rPr>
          <w:rFonts w:ascii="Calibri" w:eastAsia="Calibri" w:hAnsi="Calibri" w:cs="Times New Roman"/>
        </w:rPr>
        <w:t xml:space="preserve"> there</w:t>
      </w:r>
      <w:r w:rsidR="002C250A" w:rsidRPr="002C250A">
        <w:rPr>
          <w:rFonts w:ascii="Calibri" w:eastAsia="Calibri" w:hAnsi="Calibri" w:cs="Times New Roman"/>
        </w:rPr>
        <w:t xml:space="preserve"> is the flexibility within the staffing structure to reduce the number of hours input from the various roles.  </w:t>
      </w:r>
      <w:r>
        <w:rPr>
          <w:rFonts w:ascii="Calibri" w:eastAsia="Calibri" w:hAnsi="Calibri" w:cs="Times New Roman"/>
        </w:rPr>
        <w:t>Under this scenario,</w:t>
      </w:r>
      <w:r w:rsidR="002C250A" w:rsidRPr="002C250A">
        <w:rPr>
          <w:rFonts w:ascii="Calibri" w:eastAsia="Calibri" w:hAnsi="Calibri" w:cs="Times New Roman"/>
        </w:rPr>
        <w:t xml:space="preserve"> volunteer support would have to be in</w:t>
      </w:r>
      <w:r w:rsidR="00EE3C17">
        <w:rPr>
          <w:rFonts w:ascii="Calibri" w:eastAsia="Calibri" w:hAnsi="Calibri" w:cs="Times New Roman"/>
        </w:rPr>
        <w:t xml:space="preserve">creased. Many </w:t>
      </w:r>
      <w:r w:rsidR="002C250A" w:rsidRPr="002C250A">
        <w:rPr>
          <w:rFonts w:ascii="Calibri" w:eastAsia="Calibri" w:hAnsi="Calibri" w:cs="Times New Roman"/>
        </w:rPr>
        <w:t>community centres</w:t>
      </w:r>
      <w:r w:rsidR="00EE3C17">
        <w:rPr>
          <w:rFonts w:ascii="Calibri" w:eastAsia="Calibri" w:hAnsi="Calibri" w:cs="Times New Roman"/>
        </w:rPr>
        <w:t xml:space="preserve"> </w:t>
      </w:r>
      <w:r w:rsidR="002C250A" w:rsidRPr="002C250A">
        <w:rPr>
          <w:rFonts w:ascii="Calibri" w:eastAsia="Calibri" w:hAnsi="Calibri" w:cs="Times New Roman"/>
        </w:rPr>
        <w:t xml:space="preserve">rely heavily on volunteer support and have a small number of employees to coordinate the activities of the building, so there are a number of examples of such a model operating successfully. This would not be the preferred model of delivery but it would enable the organisation to operate sustainably in light of any significant reduction in income and/or increase in costs.   </w:t>
      </w:r>
    </w:p>
    <w:p w:rsidR="00BD00A4" w:rsidRDefault="00BD00A4">
      <w:pPr>
        <w:rPr>
          <w:rFonts w:ascii="Calibri" w:eastAsia="Calibri" w:hAnsi="Calibri" w:cs="Times New Roman"/>
        </w:rPr>
      </w:pPr>
      <w:r>
        <w:rPr>
          <w:rFonts w:ascii="Calibri" w:eastAsia="Calibri" w:hAnsi="Calibri" w:cs="Times New Roman"/>
        </w:rPr>
        <w:br w:type="page"/>
      </w:r>
    </w:p>
    <w:p w:rsidR="00BD00A4" w:rsidRPr="00BD00A4" w:rsidRDefault="00C97C31" w:rsidP="00BD00A4">
      <w:pPr>
        <w:keepNext/>
        <w:keepLines/>
        <w:spacing w:before="200" w:after="0"/>
        <w:outlineLvl w:val="1"/>
        <w:rPr>
          <w:rFonts w:asciiTheme="majorHAnsi" w:eastAsiaTheme="majorEastAsia" w:hAnsiTheme="majorHAnsi" w:cs="Times New Roman"/>
          <w:b/>
          <w:bCs/>
          <w:color w:val="4F81BD" w:themeColor="accent1"/>
          <w:sz w:val="26"/>
          <w:szCs w:val="26"/>
        </w:rPr>
      </w:pPr>
      <w:bookmarkStart w:id="12" w:name="_Toc493491721"/>
      <w:r>
        <w:rPr>
          <w:rFonts w:asciiTheme="majorHAnsi" w:eastAsiaTheme="majorEastAsia" w:hAnsiTheme="majorHAnsi" w:cs="Times New Roman"/>
          <w:b/>
          <w:bCs/>
          <w:color w:val="4F81BD" w:themeColor="accent1"/>
          <w:sz w:val="26"/>
          <w:szCs w:val="26"/>
        </w:rPr>
        <w:lastRenderedPageBreak/>
        <w:t>MCRG</w:t>
      </w:r>
      <w:r w:rsidR="00BD00A4" w:rsidRPr="00BD00A4">
        <w:rPr>
          <w:rFonts w:asciiTheme="majorHAnsi" w:eastAsiaTheme="majorEastAsia" w:hAnsiTheme="majorHAnsi" w:cs="Times New Roman"/>
          <w:b/>
          <w:bCs/>
          <w:color w:val="4F81BD" w:themeColor="accent1"/>
          <w:sz w:val="26"/>
          <w:szCs w:val="26"/>
        </w:rPr>
        <w:t xml:space="preserve"> Funding Strategy and Funding Opportunities</w:t>
      </w:r>
      <w:bookmarkEnd w:id="12"/>
    </w:p>
    <w:p w:rsidR="00BD00A4" w:rsidRPr="00BD00A4" w:rsidRDefault="00BD00A4" w:rsidP="00BD00A4">
      <w:pPr>
        <w:rPr>
          <w:rFonts w:eastAsia="Times New Roman" w:cs="Times New Roman"/>
        </w:rPr>
      </w:pPr>
    </w:p>
    <w:p w:rsidR="00BD00A4" w:rsidRPr="00BD00A4" w:rsidRDefault="00BD00A4" w:rsidP="00BD00A4">
      <w:pPr>
        <w:keepNext/>
        <w:keepLines/>
        <w:spacing w:before="200" w:after="0"/>
        <w:outlineLvl w:val="1"/>
        <w:rPr>
          <w:rFonts w:asciiTheme="majorHAnsi" w:eastAsiaTheme="majorEastAsia" w:hAnsiTheme="majorHAnsi" w:cs="Times New Roman"/>
          <w:b/>
          <w:bCs/>
          <w:color w:val="4F81BD" w:themeColor="accent1"/>
          <w:sz w:val="26"/>
          <w:szCs w:val="26"/>
        </w:rPr>
      </w:pPr>
      <w:bookmarkStart w:id="13" w:name="_Toc493491722"/>
      <w:r w:rsidRPr="00BD00A4">
        <w:rPr>
          <w:rFonts w:asciiTheme="majorHAnsi" w:eastAsiaTheme="majorEastAsia" w:hAnsiTheme="majorHAnsi" w:cs="Times New Roman"/>
          <w:b/>
          <w:bCs/>
          <w:color w:val="4F81BD" w:themeColor="accent1"/>
          <w:sz w:val="26"/>
          <w:szCs w:val="26"/>
        </w:rPr>
        <w:t xml:space="preserve">Funding </w:t>
      </w:r>
      <w:r w:rsidR="007C36A2">
        <w:rPr>
          <w:rFonts w:asciiTheme="majorHAnsi" w:eastAsiaTheme="majorEastAsia" w:hAnsiTheme="majorHAnsi" w:cs="Times New Roman"/>
          <w:b/>
          <w:bCs/>
          <w:color w:val="4F81BD" w:themeColor="accent1"/>
          <w:sz w:val="26"/>
          <w:szCs w:val="26"/>
        </w:rPr>
        <w:t xml:space="preserve">the </w:t>
      </w:r>
      <w:r w:rsidR="00EE3C17">
        <w:rPr>
          <w:rFonts w:asciiTheme="majorHAnsi" w:eastAsiaTheme="majorEastAsia" w:hAnsiTheme="majorHAnsi" w:cs="Times New Roman"/>
          <w:b/>
          <w:bCs/>
          <w:color w:val="4F81BD" w:themeColor="accent1"/>
          <w:sz w:val="26"/>
          <w:szCs w:val="26"/>
        </w:rPr>
        <w:t xml:space="preserve">Capital </w:t>
      </w:r>
      <w:r w:rsidR="007C36A2">
        <w:rPr>
          <w:rFonts w:asciiTheme="majorHAnsi" w:eastAsiaTheme="majorEastAsia" w:hAnsiTheme="majorHAnsi" w:cs="Times New Roman"/>
          <w:b/>
          <w:bCs/>
          <w:color w:val="4F81BD" w:themeColor="accent1"/>
          <w:sz w:val="26"/>
          <w:szCs w:val="26"/>
        </w:rPr>
        <w:t>Refurbishment Programme</w:t>
      </w:r>
      <w:bookmarkEnd w:id="13"/>
    </w:p>
    <w:p w:rsidR="00BD00A4" w:rsidRDefault="00BD00A4" w:rsidP="00BD00A4">
      <w:pPr>
        <w:rPr>
          <w:rFonts w:eastAsia="Times New Roman" w:cs="Times New Roman"/>
        </w:rPr>
      </w:pPr>
    </w:p>
    <w:p w:rsidR="00C97C31" w:rsidRDefault="00C97C31" w:rsidP="00BD00A4">
      <w:pPr>
        <w:rPr>
          <w:rFonts w:eastAsia="Times New Roman" w:cs="Times New Roman"/>
        </w:rPr>
      </w:pPr>
      <w:r>
        <w:rPr>
          <w:rFonts w:eastAsia="Times New Roman" w:cs="Times New Roman"/>
        </w:rPr>
        <w:t xml:space="preserve">The cost of the capital refurbishment of the facility has been projected £2.3 million; </w:t>
      </w:r>
      <w:r w:rsidR="00C15339">
        <w:rPr>
          <w:rFonts w:eastAsia="Times New Roman" w:cs="Times New Roman"/>
        </w:rPr>
        <w:t>in order to raise these funds MCRG will be targeting funding from a number of sources including the public sector, trusts and third sector funders. The range of social outcomes MCRG will be delivering against will make the project eligible for a number of funders. These social outcomes will include:</w:t>
      </w:r>
    </w:p>
    <w:p w:rsidR="00C15339" w:rsidRDefault="00C15339" w:rsidP="00C15339">
      <w:pPr>
        <w:pStyle w:val="ListParagraph"/>
        <w:numPr>
          <w:ilvl w:val="0"/>
          <w:numId w:val="20"/>
        </w:numPr>
        <w:rPr>
          <w:rFonts w:eastAsia="Times New Roman" w:cs="Times New Roman"/>
        </w:rPr>
      </w:pPr>
      <w:r>
        <w:rPr>
          <w:rFonts w:eastAsia="Times New Roman" w:cs="Times New Roman"/>
        </w:rPr>
        <w:t>Deve</w:t>
      </w:r>
      <w:r w:rsidR="000509C7">
        <w:rPr>
          <w:rFonts w:eastAsia="Times New Roman" w:cs="Times New Roman"/>
        </w:rPr>
        <w:t>lopment of community facilities</w:t>
      </w:r>
    </w:p>
    <w:p w:rsidR="00C15339" w:rsidRDefault="00C15339" w:rsidP="00C15339">
      <w:pPr>
        <w:pStyle w:val="ListParagraph"/>
        <w:numPr>
          <w:ilvl w:val="0"/>
          <w:numId w:val="20"/>
        </w:numPr>
        <w:rPr>
          <w:rFonts w:eastAsia="Times New Roman" w:cs="Times New Roman"/>
        </w:rPr>
      </w:pPr>
      <w:r>
        <w:rPr>
          <w:rFonts w:eastAsia="Times New Roman" w:cs="Times New Roman"/>
        </w:rPr>
        <w:t>Healt</w:t>
      </w:r>
      <w:r w:rsidR="000509C7">
        <w:rPr>
          <w:rFonts w:eastAsia="Times New Roman" w:cs="Times New Roman"/>
        </w:rPr>
        <w:t>h and well-being initiatives</w:t>
      </w:r>
    </w:p>
    <w:p w:rsidR="00C15339" w:rsidRDefault="00C15339" w:rsidP="00C15339">
      <w:pPr>
        <w:pStyle w:val="ListParagraph"/>
        <w:numPr>
          <w:ilvl w:val="0"/>
          <w:numId w:val="20"/>
        </w:numPr>
        <w:rPr>
          <w:rFonts w:eastAsia="Times New Roman" w:cs="Times New Roman"/>
        </w:rPr>
      </w:pPr>
      <w:r>
        <w:rPr>
          <w:rFonts w:eastAsia="Times New Roman" w:cs="Times New Roman"/>
        </w:rPr>
        <w:t xml:space="preserve">The creation of facilities for sport </w:t>
      </w:r>
    </w:p>
    <w:p w:rsidR="00C15339" w:rsidRDefault="00C15339" w:rsidP="00C15339">
      <w:pPr>
        <w:pStyle w:val="ListParagraph"/>
        <w:numPr>
          <w:ilvl w:val="0"/>
          <w:numId w:val="20"/>
        </w:numPr>
        <w:rPr>
          <w:rFonts w:eastAsia="Times New Roman" w:cs="Times New Roman"/>
        </w:rPr>
      </w:pPr>
      <w:r>
        <w:rPr>
          <w:rFonts w:eastAsia="Times New Roman" w:cs="Times New Roman"/>
        </w:rPr>
        <w:t>Employability initiatives for th</w:t>
      </w:r>
      <w:r w:rsidR="000509C7">
        <w:rPr>
          <w:rFonts w:eastAsia="Times New Roman" w:cs="Times New Roman"/>
        </w:rPr>
        <w:t>ose with barriers to employment</w:t>
      </w:r>
    </w:p>
    <w:p w:rsidR="007C36A2" w:rsidRDefault="000509C7" w:rsidP="00C15339">
      <w:pPr>
        <w:pStyle w:val="ListParagraph"/>
        <w:numPr>
          <w:ilvl w:val="0"/>
          <w:numId w:val="20"/>
        </w:numPr>
        <w:rPr>
          <w:rFonts w:eastAsia="Times New Roman" w:cs="Times New Roman"/>
        </w:rPr>
      </w:pPr>
      <w:r>
        <w:rPr>
          <w:rFonts w:eastAsia="Times New Roman" w:cs="Times New Roman"/>
        </w:rPr>
        <w:t>Volunteer development</w:t>
      </w:r>
    </w:p>
    <w:p w:rsidR="00C15339" w:rsidRDefault="000509C7" w:rsidP="00C15339">
      <w:pPr>
        <w:pStyle w:val="ListParagraph"/>
        <w:numPr>
          <w:ilvl w:val="0"/>
          <w:numId w:val="20"/>
        </w:numPr>
        <w:rPr>
          <w:rFonts w:eastAsia="Times New Roman" w:cs="Times New Roman"/>
        </w:rPr>
      </w:pPr>
      <w:r>
        <w:rPr>
          <w:rFonts w:eastAsia="Times New Roman" w:cs="Times New Roman"/>
        </w:rPr>
        <w:t>Intergenerational working</w:t>
      </w:r>
    </w:p>
    <w:p w:rsidR="00C15339" w:rsidRDefault="00C15339" w:rsidP="00C15339">
      <w:pPr>
        <w:pStyle w:val="ListParagraph"/>
        <w:numPr>
          <w:ilvl w:val="0"/>
          <w:numId w:val="20"/>
        </w:numPr>
        <w:rPr>
          <w:rFonts w:eastAsia="Times New Roman" w:cs="Times New Roman"/>
        </w:rPr>
      </w:pPr>
      <w:r>
        <w:rPr>
          <w:rFonts w:eastAsia="Times New Roman" w:cs="Times New Roman"/>
        </w:rPr>
        <w:t>Increasing community cohesion and decreasing social isolation</w:t>
      </w:r>
    </w:p>
    <w:p w:rsidR="00BD00A4" w:rsidRPr="00BD00A4" w:rsidRDefault="007D0816" w:rsidP="00BD00A4">
      <w:pPr>
        <w:rPr>
          <w:rFonts w:eastAsia="Times New Roman" w:cs="Times New Roman"/>
        </w:rPr>
      </w:pPr>
      <w:r>
        <w:rPr>
          <w:rFonts w:eastAsia="Times New Roman" w:cs="Times New Roman"/>
        </w:rPr>
        <w:t>The following outlines</w:t>
      </w:r>
      <w:r w:rsidR="007C36A2">
        <w:rPr>
          <w:rFonts w:eastAsia="Times New Roman" w:cs="Times New Roman"/>
        </w:rPr>
        <w:t xml:space="preserve"> an example of how the £2.3 million </w:t>
      </w:r>
      <w:r>
        <w:rPr>
          <w:rFonts w:eastAsia="Times New Roman" w:cs="Times New Roman"/>
        </w:rPr>
        <w:t>may be</w:t>
      </w:r>
      <w:r w:rsidR="007C36A2">
        <w:rPr>
          <w:rFonts w:eastAsia="Times New Roman" w:cs="Times New Roman"/>
        </w:rPr>
        <w:t xml:space="preserve"> </w:t>
      </w:r>
      <w:r w:rsidR="00BE47A9">
        <w:rPr>
          <w:rFonts w:eastAsia="Times New Roman" w:cs="Times New Roman"/>
        </w:rPr>
        <w:t>raised;</w:t>
      </w:r>
      <w:r w:rsidR="00C75D8B">
        <w:rPr>
          <w:rFonts w:eastAsia="Times New Roman" w:cs="Times New Roman"/>
        </w:rPr>
        <w:t xml:space="preserve"> t</w:t>
      </w:r>
      <w:r w:rsidR="00C75D8B" w:rsidRPr="00C75D8B">
        <w:rPr>
          <w:rFonts w:eastAsia="Times New Roman" w:cs="Times New Roman"/>
        </w:rPr>
        <w:t>he funders have been broken down into two categories</w:t>
      </w:r>
      <w:r w:rsidR="00C75D8B">
        <w:rPr>
          <w:rFonts w:eastAsia="Times New Roman" w:cs="Times New Roman"/>
        </w:rPr>
        <w:t>:</w:t>
      </w:r>
      <w:r w:rsidR="00C75D8B" w:rsidRPr="00C75D8B">
        <w:rPr>
          <w:rFonts w:eastAsia="Times New Roman" w:cs="Times New Roman"/>
        </w:rPr>
        <w:t xml:space="preserve"> primary and secondary funding sources.</w:t>
      </w:r>
    </w:p>
    <w:tbl>
      <w:tblPr>
        <w:tblW w:w="6678" w:type="dxa"/>
        <w:tblInd w:w="93" w:type="dxa"/>
        <w:tblLook w:val="04A0" w:firstRow="1" w:lastRow="0" w:firstColumn="1" w:lastColumn="0" w:noHBand="0" w:noVBand="1"/>
      </w:tblPr>
      <w:tblGrid>
        <w:gridCol w:w="5000"/>
        <w:gridCol w:w="1678"/>
      </w:tblGrid>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Priority Funding Targets</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 xml:space="preserve">Source </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 xml:space="preserve">Funding Target </w:t>
            </w:r>
          </w:p>
        </w:tc>
      </w:tr>
      <w:tr w:rsidR="007C36A2" w:rsidRPr="00BE47A9" w:rsidTr="007C36A2">
        <w:trPr>
          <w:trHeight w:val="255"/>
        </w:trPr>
        <w:tc>
          <w:tcPr>
            <w:tcW w:w="5000" w:type="dxa"/>
            <w:tcBorders>
              <w:top w:val="nil"/>
              <w:left w:val="nil"/>
              <w:bottom w:val="nil"/>
              <w:right w:val="nil"/>
            </w:tcBorders>
            <w:shd w:val="clear" w:color="auto" w:fill="auto"/>
            <w:noWrap/>
            <w:vAlign w:val="bottom"/>
          </w:tcPr>
          <w:p w:rsidR="007C36A2" w:rsidRPr="00BE47A9"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tcPr>
          <w:p w:rsidR="007C36A2" w:rsidRPr="00BE47A9"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Big Lottery - Community Assets</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£1,000,000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 xml:space="preserve">Robertson Trust </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£150,000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Sports Scotland</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£200,000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 xml:space="preserve">Contribution from Angus Council </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£300,000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Planning gain contribution from Developers</w:t>
            </w:r>
          </w:p>
        </w:tc>
        <w:tc>
          <w:tcPr>
            <w:tcW w:w="1678" w:type="dxa"/>
            <w:tcBorders>
              <w:top w:val="nil"/>
              <w:left w:val="nil"/>
              <w:bottom w:val="nil"/>
              <w:right w:val="nil"/>
            </w:tcBorders>
            <w:shd w:val="clear" w:color="auto" w:fill="auto"/>
            <w:noWrap/>
            <w:vAlign w:val="bottom"/>
            <w:hideMark/>
          </w:tcPr>
          <w:p w:rsidR="007C36A2" w:rsidRPr="007C36A2" w:rsidRDefault="00133EBD" w:rsidP="00133EBD">
            <w:pPr>
              <w:spacing w:after="0" w:line="240" w:lineRule="auto"/>
              <w:jc w:val="right"/>
              <w:rPr>
                <w:rFonts w:eastAsia="Times New Roman" w:cstheme="minorHAnsi"/>
                <w:lang w:eastAsia="en-GB"/>
              </w:rPr>
            </w:pPr>
            <w:r>
              <w:rPr>
                <w:rFonts w:eastAsia="Times New Roman" w:cstheme="minorHAnsi"/>
                <w:lang w:eastAsia="en-GB"/>
              </w:rPr>
              <w:t>£332</w:t>
            </w:r>
            <w:r w:rsidR="007C36A2" w:rsidRPr="007C36A2">
              <w:rPr>
                <w:rFonts w:eastAsia="Times New Roman" w:cstheme="minorHAnsi"/>
                <w:lang w:eastAsia="en-GB"/>
              </w:rPr>
              <w:t>,000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 xml:space="preserve">Community Fundraising </w:t>
            </w:r>
          </w:p>
        </w:tc>
        <w:tc>
          <w:tcPr>
            <w:tcW w:w="1678" w:type="dxa"/>
            <w:tcBorders>
              <w:top w:val="nil"/>
              <w:left w:val="nil"/>
              <w:bottom w:val="nil"/>
              <w:right w:val="nil"/>
            </w:tcBorders>
            <w:shd w:val="clear" w:color="auto" w:fill="auto"/>
            <w:noWrap/>
            <w:vAlign w:val="bottom"/>
            <w:hideMark/>
          </w:tcPr>
          <w:p w:rsidR="007C36A2" w:rsidRPr="007C36A2" w:rsidRDefault="007C36A2" w:rsidP="0093730A">
            <w:pPr>
              <w:spacing w:after="0" w:line="240" w:lineRule="auto"/>
              <w:jc w:val="right"/>
              <w:rPr>
                <w:rFonts w:eastAsia="Times New Roman" w:cstheme="minorHAnsi"/>
                <w:lang w:eastAsia="en-GB"/>
              </w:rPr>
            </w:pPr>
            <w:r w:rsidRPr="007C36A2">
              <w:rPr>
                <w:rFonts w:eastAsia="Times New Roman" w:cstheme="minorHAnsi"/>
                <w:lang w:eastAsia="en-GB"/>
              </w:rPr>
              <w:t>£5</w:t>
            </w:r>
            <w:r w:rsidR="0093730A">
              <w:rPr>
                <w:rFonts w:eastAsia="Times New Roman" w:cstheme="minorHAnsi"/>
                <w:lang w:eastAsia="en-GB"/>
              </w:rPr>
              <w:t>8</w:t>
            </w:r>
            <w:r w:rsidRPr="007C36A2">
              <w:rPr>
                <w:rFonts w:eastAsia="Times New Roman" w:cstheme="minorHAnsi"/>
                <w:lang w:eastAsia="en-GB"/>
              </w:rPr>
              <w:t>,000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 xml:space="preserve">Total </w:t>
            </w:r>
          </w:p>
        </w:tc>
        <w:tc>
          <w:tcPr>
            <w:tcW w:w="1678" w:type="dxa"/>
            <w:tcBorders>
              <w:top w:val="nil"/>
              <w:left w:val="nil"/>
              <w:bottom w:val="nil"/>
              <w:right w:val="nil"/>
            </w:tcBorders>
            <w:shd w:val="clear" w:color="auto" w:fill="auto"/>
            <w:noWrap/>
            <w:vAlign w:val="bottom"/>
            <w:hideMark/>
          </w:tcPr>
          <w:p w:rsidR="007C36A2" w:rsidRPr="007C36A2" w:rsidRDefault="0093730A" w:rsidP="007C36A2">
            <w:pPr>
              <w:spacing w:after="0" w:line="240" w:lineRule="auto"/>
              <w:jc w:val="right"/>
              <w:rPr>
                <w:rFonts w:eastAsia="Times New Roman" w:cstheme="minorHAnsi"/>
                <w:b/>
                <w:lang w:eastAsia="en-GB"/>
              </w:rPr>
            </w:pPr>
            <w:r>
              <w:rPr>
                <w:rFonts w:eastAsia="Times New Roman" w:cstheme="minorHAnsi"/>
                <w:b/>
                <w:lang w:eastAsia="en-GB"/>
              </w:rPr>
              <w:t>£2,</w:t>
            </w:r>
            <w:r w:rsidR="007C36A2" w:rsidRPr="007C36A2">
              <w:rPr>
                <w:rFonts w:eastAsia="Times New Roman" w:cstheme="minorHAnsi"/>
                <w:b/>
                <w:lang w:eastAsia="en-GB"/>
              </w:rPr>
              <w:t>0</w:t>
            </w:r>
            <w:r>
              <w:rPr>
                <w:rFonts w:eastAsia="Times New Roman" w:cstheme="minorHAnsi"/>
                <w:b/>
                <w:lang w:eastAsia="en-GB"/>
              </w:rPr>
              <w:t>4</w:t>
            </w:r>
            <w:r w:rsidR="007C36A2" w:rsidRPr="007C36A2">
              <w:rPr>
                <w:rFonts w:eastAsia="Times New Roman" w:cstheme="minorHAnsi"/>
                <w:b/>
                <w:lang w:eastAsia="en-GB"/>
              </w:rPr>
              <w:t>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Secondary Funding Targets</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NHS Tayside Community Innovation Fund</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£10,000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People's Postcode Trust</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£20,000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 xml:space="preserve">Garfield Weston Foundation </w:t>
            </w:r>
          </w:p>
        </w:tc>
        <w:tc>
          <w:tcPr>
            <w:tcW w:w="1678" w:type="dxa"/>
            <w:tcBorders>
              <w:top w:val="nil"/>
              <w:left w:val="nil"/>
              <w:bottom w:val="nil"/>
              <w:right w:val="nil"/>
            </w:tcBorders>
            <w:shd w:val="clear" w:color="auto" w:fill="auto"/>
            <w:noWrap/>
            <w:vAlign w:val="bottom"/>
            <w:hideMark/>
          </w:tcPr>
          <w:p w:rsidR="007C36A2" w:rsidRPr="007C36A2" w:rsidRDefault="0093730A" w:rsidP="007C36A2">
            <w:pPr>
              <w:spacing w:after="0" w:line="240" w:lineRule="auto"/>
              <w:jc w:val="right"/>
              <w:rPr>
                <w:rFonts w:eastAsia="Times New Roman" w:cstheme="minorHAnsi"/>
                <w:lang w:eastAsia="en-GB"/>
              </w:rPr>
            </w:pPr>
            <w:r>
              <w:rPr>
                <w:rFonts w:eastAsia="Times New Roman" w:cstheme="minorHAnsi"/>
                <w:lang w:eastAsia="en-GB"/>
              </w:rPr>
              <w:t>£90</w:t>
            </w:r>
            <w:r w:rsidR="007C36A2" w:rsidRPr="007C36A2">
              <w:rPr>
                <w:rFonts w:eastAsia="Times New Roman" w:cstheme="minorHAnsi"/>
                <w:lang w:eastAsia="en-GB"/>
              </w:rPr>
              <w:t>,000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Foundation Scotland - Comic Relief Local Communities</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£10,000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Weir Trust</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lang w:eastAsia="en-GB"/>
              </w:rPr>
            </w:pPr>
            <w:r w:rsidRPr="007C36A2">
              <w:rPr>
                <w:rFonts w:eastAsia="Times New Roman" w:cstheme="minorHAnsi"/>
                <w:lang w:eastAsia="en-GB"/>
              </w:rPr>
              <w:t>£50,000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r w:rsidRPr="007C36A2">
              <w:rPr>
                <w:rFonts w:eastAsia="Times New Roman" w:cstheme="minorHAnsi"/>
                <w:lang w:eastAsia="en-GB"/>
              </w:rPr>
              <w:t>Scottish Government's Empowering Communities Fund</w:t>
            </w:r>
          </w:p>
        </w:tc>
        <w:tc>
          <w:tcPr>
            <w:tcW w:w="1678" w:type="dxa"/>
            <w:tcBorders>
              <w:top w:val="nil"/>
              <w:left w:val="nil"/>
              <w:bottom w:val="nil"/>
              <w:right w:val="nil"/>
            </w:tcBorders>
            <w:shd w:val="clear" w:color="auto" w:fill="auto"/>
            <w:noWrap/>
            <w:vAlign w:val="bottom"/>
            <w:hideMark/>
          </w:tcPr>
          <w:p w:rsidR="007C36A2" w:rsidRPr="007C36A2" w:rsidRDefault="007C36A2" w:rsidP="0093730A">
            <w:pPr>
              <w:spacing w:after="0" w:line="240" w:lineRule="auto"/>
              <w:jc w:val="right"/>
              <w:rPr>
                <w:rFonts w:eastAsia="Times New Roman" w:cstheme="minorHAnsi"/>
                <w:lang w:eastAsia="en-GB"/>
              </w:rPr>
            </w:pPr>
            <w:r w:rsidRPr="007C36A2">
              <w:rPr>
                <w:rFonts w:eastAsia="Times New Roman" w:cstheme="minorHAnsi"/>
                <w:lang w:eastAsia="en-GB"/>
              </w:rPr>
              <w:t>£</w:t>
            </w:r>
            <w:r w:rsidR="0093730A">
              <w:rPr>
                <w:rFonts w:eastAsia="Times New Roman" w:cstheme="minorHAnsi"/>
                <w:lang w:eastAsia="en-GB"/>
              </w:rPr>
              <w:t>80</w:t>
            </w:r>
            <w:r w:rsidRPr="007C36A2">
              <w:rPr>
                <w:rFonts w:eastAsia="Times New Roman" w:cstheme="minorHAnsi"/>
                <w:lang w:eastAsia="en-GB"/>
              </w:rPr>
              <w:t>,000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lang w:eastAsia="en-GB"/>
              </w:rPr>
            </w:pP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 xml:space="preserve">Total </w:t>
            </w:r>
          </w:p>
        </w:tc>
        <w:tc>
          <w:tcPr>
            <w:tcW w:w="1678" w:type="dxa"/>
            <w:tcBorders>
              <w:top w:val="nil"/>
              <w:left w:val="nil"/>
              <w:bottom w:val="nil"/>
              <w:right w:val="nil"/>
            </w:tcBorders>
            <w:shd w:val="clear" w:color="auto" w:fill="auto"/>
            <w:noWrap/>
            <w:vAlign w:val="bottom"/>
            <w:hideMark/>
          </w:tcPr>
          <w:p w:rsidR="007C36A2" w:rsidRPr="007C36A2" w:rsidRDefault="0093730A" w:rsidP="0093730A">
            <w:pPr>
              <w:spacing w:after="0" w:line="240" w:lineRule="auto"/>
              <w:jc w:val="right"/>
              <w:rPr>
                <w:rFonts w:eastAsia="Times New Roman" w:cstheme="minorHAnsi"/>
                <w:b/>
                <w:lang w:eastAsia="en-GB"/>
              </w:rPr>
            </w:pPr>
            <w:r>
              <w:rPr>
                <w:rFonts w:eastAsia="Times New Roman" w:cstheme="minorHAnsi"/>
                <w:b/>
                <w:lang w:eastAsia="en-GB"/>
              </w:rPr>
              <w:t>£26</w:t>
            </w:r>
            <w:r w:rsidR="007C36A2" w:rsidRPr="007C36A2">
              <w:rPr>
                <w:rFonts w:eastAsia="Times New Roman" w:cstheme="minorHAnsi"/>
                <w:b/>
                <w:lang w:eastAsia="en-GB"/>
              </w:rPr>
              <w:t>0,000</w:t>
            </w:r>
          </w:p>
        </w:tc>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p>
        </w:tc>
        <w:bookmarkStart w:id="14" w:name="_GoBack"/>
        <w:bookmarkEnd w:id="14"/>
      </w:tr>
      <w:tr w:rsidR="007C36A2" w:rsidRPr="007C36A2" w:rsidTr="007C36A2">
        <w:trPr>
          <w:trHeight w:val="255"/>
        </w:trPr>
        <w:tc>
          <w:tcPr>
            <w:tcW w:w="5000"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rPr>
                <w:rFonts w:eastAsia="Times New Roman" w:cstheme="minorHAnsi"/>
                <w:b/>
                <w:lang w:eastAsia="en-GB"/>
              </w:rPr>
            </w:pPr>
            <w:r w:rsidRPr="007C36A2">
              <w:rPr>
                <w:rFonts w:eastAsia="Times New Roman" w:cstheme="minorHAnsi"/>
                <w:b/>
                <w:lang w:eastAsia="en-GB"/>
              </w:rPr>
              <w:t xml:space="preserve">Total Funding </w:t>
            </w:r>
          </w:p>
        </w:tc>
        <w:tc>
          <w:tcPr>
            <w:tcW w:w="1678" w:type="dxa"/>
            <w:tcBorders>
              <w:top w:val="nil"/>
              <w:left w:val="nil"/>
              <w:bottom w:val="nil"/>
              <w:right w:val="nil"/>
            </w:tcBorders>
            <w:shd w:val="clear" w:color="auto" w:fill="auto"/>
            <w:noWrap/>
            <w:vAlign w:val="bottom"/>
            <w:hideMark/>
          </w:tcPr>
          <w:p w:rsidR="007C36A2" w:rsidRPr="007C36A2" w:rsidRDefault="007C36A2" w:rsidP="007C36A2">
            <w:pPr>
              <w:spacing w:after="0" w:line="240" w:lineRule="auto"/>
              <w:jc w:val="right"/>
              <w:rPr>
                <w:rFonts w:eastAsia="Times New Roman" w:cstheme="minorHAnsi"/>
                <w:b/>
                <w:lang w:eastAsia="en-GB"/>
              </w:rPr>
            </w:pPr>
            <w:r w:rsidRPr="007C36A2">
              <w:rPr>
                <w:rFonts w:eastAsia="Times New Roman" w:cstheme="minorHAnsi"/>
                <w:b/>
                <w:lang w:eastAsia="en-GB"/>
              </w:rPr>
              <w:t>£2,300,000</w:t>
            </w:r>
          </w:p>
        </w:tc>
      </w:tr>
    </w:tbl>
    <w:p w:rsidR="002C250A" w:rsidRPr="00BE47A9" w:rsidRDefault="002C250A" w:rsidP="00C05A06">
      <w:pPr>
        <w:rPr>
          <w:rFonts w:cstheme="minorHAnsi"/>
        </w:rPr>
      </w:pPr>
    </w:p>
    <w:p w:rsidR="007D0816" w:rsidRDefault="007D0816" w:rsidP="007D0816"/>
    <w:p w:rsidR="007D0816" w:rsidRDefault="007D0816" w:rsidP="009F0043">
      <w:r w:rsidRPr="007D0816">
        <w:rPr>
          <w:b/>
        </w:rPr>
        <w:t>Primary Funding Sources</w:t>
      </w:r>
      <w:r>
        <w:rPr>
          <w:b/>
        </w:rPr>
        <w:t xml:space="preserve"> – </w:t>
      </w:r>
      <w:r>
        <w:t xml:space="preserve">The most critical of these funding sources is the Big Lottery’s Community Assets Programme, MCRG have passed stage 1 of this process and have been awarded development funding from this source to support the </w:t>
      </w:r>
      <w:r w:rsidR="00A12F91">
        <w:t>development</w:t>
      </w:r>
      <w:r>
        <w:t xml:space="preserve"> of the stage 2 </w:t>
      </w:r>
      <w:proofErr w:type="gramStart"/>
      <w:r>
        <w:t>application</w:t>
      </w:r>
      <w:proofErr w:type="gramEnd"/>
      <w:r>
        <w:t xml:space="preserve">. Securing </w:t>
      </w:r>
      <w:r w:rsidR="009F0043">
        <w:t xml:space="preserve">capital </w:t>
      </w:r>
      <w:r>
        <w:t>funding from the Big Lottery will be vital to the success of the project. Many of the other named funder</w:t>
      </w:r>
      <w:r w:rsidR="009F0043">
        <w:t xml:space="preserve">s </w:t>
      </w:r>
      <w:r>
        <w:t xml:space="preserve">will not commit to funding the project without </w:t>
      </w:r>
      <w:r w:rsidR="009F0043">
        <w:t xml:space="preserve">Big Lottery commitment. In addition, securing the contribution from Angus Council of £300,000 and the planning gain contribution from local housing developers of £400,000 would result in MCRG securing around 75% of the overall capital funding requirement. Furthermore, if the £700,000 from these two sources was confirmed prior to the stage 2 submission to the Big Lottery; then this would significantly strengthen this bid. </w:t>
      </w:r>
      <w:r w:rsidR="00AF44E1">
        <w:t xml:space="preserve">Contact with the Robertson </w:t>
      </w:r>
      <w:r w:rsidR="00BC35C6">
        <w:t xml:space="preserve">Trust and </w:t>
      </w:r>
      <w:proofErr w:type="spellStart"/>
      <w:r w:rsidR="00BC35C6">
        <w:t>Sportscotland</w:t>
      </w:r>
      <w:proofErr w:type="spellEnd"/>
      <w:r w:rsidR="00BC35C6">
        <w:t xml:space="preserve"> will be made prior to the submission of the bid to the Big Lottery to discuss the funding potential of the project.  </w:t>
      </w:r>
    </w:p>
    <w:p w:rsidR="009F0043" w:rsidRDefault="007D0816" w:rsidP="007D0816">
      <w:r w:rsidRPr="009F0043">
        <w:rPr>
          <w:b/>
        </w:rPr>
        <w:t>Secondary Funding Sources</w:t>
      </w:r>
      <w:r>
        <w:t xml:space="preserve"> – </w:t>
      </w:r>
      <w:r w:rsidR="009F0043">
        <w:t xml:space="preserve">This is a list of </w:t>
      </w:r>
      <w:r w:rsidR="00BC35C6">
        <w:t xml:space="preserve">funding </w:t>
      </w:r>
      <w:r w:rsidR="009F0043">
        <w:t xml:space="preserve">targets that are smaller in </w:t>
      </w:r>
      <w:r w:rsidR="00BC35C6">
        <w:t xml:space="preserve">the contribution they would be able to make to the project but will be important in terms of completing the funding picture. An extensive list of additional funders has been created that may be in a position to fund the project if there was a shortfall in funding from secondary funding sources. </w:t>
      </w:r>
    </w:p>
    <w:p w:rsidR="007D0816" w:rsidRPr="00BC35C6" w:rsidRDefault="009F0043" w:rsidP="009E623C">
      <w:r>
        <w:rPr>
          <w:b/>
        </w:rPr>
        <w:t xml:space="preserve">The Purchase Price of the Community Asset Transfer </w:t>
      </w:r>
      <w:r w:rsidR="00BC35C6">
        <w:rPr>
          <w:b/>
        </w:rPr>
        <w:t>–</w:t>
      </w:r>
      <w:r>
        <w:rPr>
          <w:b/>
        </w:rPr>
        <w:t xml:space="preserve"> </w:t>
      </w:r>
      <w:r w:rsidR="00BC35C6">
        <w:t>The impact of receiving the asset for £1 will be critical to the overall success of the pr</w:t>
      </w:r>
      <w:r w:rsidR="00A12F91">
        <w:t>oject. As is highlighted above,</w:t>
      </w:r>
      <w:r w:rsidR="00BC35C6">
        <w:t xml:space="preserve"> the majority of funding can potentially be secured from </w:t>
      </w:r>
      <w:r w:rsidR="008740B2">
        <w:t xml:space="preserve">a small number of primary funders. However, it will become increasingly challenging to secure funding for the project if the budget rises above £2.3million as funders, and the contribution they are prepared to make will begin to exhaust itself. The Big Lottery will look favourably on an asset transfer of £1 as this will keep the overall budget manageable and </w:t>
      </w:r>
      <w:r w:rsidR="009E623C">
        <w:t>indicate Angus Council’s support for the project a</w:t>
      </w:r>
      <w:r w:rsidR="008740B2">
        <w:t xml:space="preserve">nd this will be an important factor in the Big Lottery’s decision </w:t>
      </w:r>
      <w:r w:rsidR="009E623C">
        <w:t xml:space="preserve">making process. This will be one of the primary contributing </w:t>
      </w:r>
      <w:r w:rsidR="009E623C" w:rsidRPr="009E623C">
        <w:t xml:space="preserve">factors in </w:t>
      </w:r>
      <w:r w:rsidR="009E623C">
        <w:t xml:space="preserve">determining the success or failure of the project and will support MCRG to leverage in over £2 million of external funding to </w:t>
      </w:r>
      <w:proofErr w:type="spellStart"/>
      <w:r w:rsidR="009E623C">
        <w:t>Monifieth</w:t>
      </w:r>
      <w:proofErr w:type="spellEnd"/>
      <w:r w:rsidR="009E623C">
        <w:t xml:space="preserve"> and ultimately provide vital community facilities and deliver a wide range of social outcomes for the town and surrounding area.</w:t>
      </w:r>
    </w:p>
    <w:p w:rsidR="00C75D8B" w:rsidRDefault="00C75D8B" w:rsidP="00C05A06">
      <w:pPr>
        <w:rPr>
          <w:rFonts w:asciiTheme="majorHAnsi" w:eastAsiaTheme="majorEastAsia" w:hAnsiTheme="majorHAnsi" w:cs="Times New Roman"/>
          <w:b/>
          <w:bCs/>
          <w:color w:val="4F81BD" w:themeColor="accent1"/>
          <w:sz w:val="26"/>
          <w:szCs w:val="26"/>
        </w:rPr>
      </w:pPr>
    </w:p>
    <w:p w:rsidR="009E623C" w:rsidRDefault="009E623C" w:rsidP="00533EA7">
      <w:pPr>
        <w:pStyle w:val="Heading2"/>
      </w:pPr>
      <w:bookmarkStart w:id="15" w:name="_Toc493491723"/>
      <w:r w:rsidRPr="009E623C">
        <w:t>Ongoing Revenue Funding</w:t>
      </w:r>
      <w:bookmarkEnd w:id="15"/>
      <w:r w:rsidRPr="009E623C">
        <w:t xml:space="preserve"> </w:t>
      </w:r>
    </w:p>
    <w:p w:rsidR="00533EA7" w:rsidRPr="00533EA7" w:rsidRDefault="00533EA7" w:rsidP="00533EA7"/>
    <w:p w:rsidR="007D0816" w:rsidRDefault="00831705" w:rsidP="00831705">
      <w:pPr>
        <w:rPr>
          <w:rFonts w:eastAsiaTheme="majorEastAsia" w:cs="Times New Roman"/>
        </w:rPr>
      </w:pPr>
      <w:r>
        <w:t xml:space="preserve">Ongoing revenue </w:t>
      </w:r>
      <w:r w:rsidR="00A12F91">
        <w:t xml:space="preserve">funding requirements </w:t>
      </w:r>
      <w:r>
        <w:t xml:space="preserve">will be </w:t>
      </w:r>
      <w:r w:rsidR="00C97C31" w:rsidRPr="00C97C31">
        <w:t>determined by identified initiatives, opportunities and the developm</w:t>
      </w:r>
      <w:r>
        <w:t xml:space="preserve">ent needs of the organisation. </w:t>
      </w:r>
      <w:r w:rsidR="00C97C31" w:rsidRPr="00C97C31">
        <w:t xml:space="preserve">Current </w:t>
      </w:r>
      <w:r>
        <w:t>financial projections</w:t>
      </w:r>
      <w:r w:rsidR="00C97C31" w:rsidRPr="00C97C31">
        <w:t xml:space="preserve"> are not reliant upon securing additional </w:t>
      </w:r>
      <w:r>
        <w:t xml:space="preserve">revenue </w:t>
      </w:r>
      <w:r w:rsidR="00C97C31" w:rsidRPr="00C97C31">
        <w:t>funding.</w:t>
      </w:r>
      <w:r>
        <w:t xml:space="preserve"> </w:t>
      </w:r>
      <w:r w:rsidR="007D0816" w:rsidRPr="00BD00A4">
        <w:rPr>
          <w:rFonts w:eastAsiaTheme="majorEastAsia" w:cs="Times New Roman"/>
        </w:rPr>
        <w:t>However</w:t>
      </w:r>
      <w:r w:rsidR="00A12F91">
        <w:rPr>
          <w:rFonts w:eastAsiaTheme="majorEastAsia" w:cs="Times New Roman"/>
        </w:rPr>
        <w:t>,</w:t>
      </w:r>
      <w:r w:rsidR="007D0816" w:rsidRPr="00BD00A4">
        <w:rPr>
          <w:rFonts w:eastAsiaTheme="majorEastAsia" w:cs="Times New Roman"/>
        </w:rPr>
        <w:t xml:space="preserve"> there are a considerable number of local and national funding bodies that would potentially fund elements of the work that </w:t>
      </w:r>
      <w:r>
        <w:rPr>
          <w:rFonts w:eastAsiaTheme="majorEastAsia" w:cs="Times New Roman"/>
        </w:rPr>
        <w:t>MCRG</w:t>
      </w:r>
      <w:r w:rsidR="007D0816" w:rsidRPr="00BD00A4">
        <w:rPr>
          <w:rFonts w:eastAsiaTheme="majorEastAsia" w:cs="Times New Roman"/>
        </w:rPr>
        <w:t xml:space="preserve"> is undertaking. </w:t>
      </w:r>
      <w:r>
        <w:rPr>
          <w:rFonts w:eastAsiaTheme="majorEastAsia" w:cs="Times New Roman"/>
        </w:rPr>
        <w:t>MCRG</w:t>
      </w:r>
      <w:r w:rsidR="007D0816" w:rsidRPr="00BD00A4">
        <w:rPr>
          <w:rFonts w:eastAsiaTheme="majorEastAsia" w:cs="Times New Roman"/>
        </w:rPr>
        <w:t xml:space="preserve"> will target this funding in three specific categories </w:t>
      </w:r>
      <w:r w:rsidR="00A12F91">
        <w:rPr>
          <w:rFonts w:eastAsiaTheme="majorEastAsia" w:cs="Times New Roman"/>
        </w:rPr>
        <w:t>- p</w:t>
      </w:r>
      <w:r w:rsidR="007D0816" w:rsidRPr="00BD00A4">
        <w:rPr>
          <w:rFonts w:eastAsiaTheme="majorEastAsia" w:cs="Times New Roman"/>
        </w:rPr>
        <w:t xml:space="preserve">roject </w:t>
      </w:r>
      <w:r w:rsidR="00A12F91">
        <w:rPr>
          <w:rFonts w:eastAsiaTheme="majorEastAsia" w:cs="Times New Roman"/>
        </w:rPr>
        <w:t>funding, organisational development f</w:t>
      </w:r>
      <w:r w:rsidR="007D0816" w:rsidRPr="00BD00A4">
        <w:rPr>
          <w:rFonts w:eastAsiaTheme="majorEastAsia" w:cs="Times New Roman"/>
        </w:rPr>
        <w:t xml:space="preserve">unding and </w:t>
      </w:r>
      <w:r w:rsidR="00A12F91">
        <w:rPr>
          <w:rFonts w:eastAsiaTheme="majorEastAsia" w:cs="Times New Roman"/>
        </w:rPr>
        <w:t>c</w:t>
      </w:r>
      <w:r w:rsidR="007D0816" w:rsidRPr="00BD00A4">
        <w:rPr>
          <w:rFonts w:eastAsiaTheme="majorEastAsia" w:cs="Times New Roman"/>
        </w:rPr>
        <w:t xml:space="preserve">apital </w:t>
      </w:r>
      <w:r w:rsidR="00A12F91">
        <w:rPr>
          <w:rFonts w:eastAsiaTheme="majorEastAsia" w:cs="Times New Roman"/>
        </w:rPr>
        <w:t>f</w:t>
      </w:r>
      <w:r w:rsidR="007D0816" w:rsidRPr="00BD00A4">
        <w:rPr>
          <w:rFonts w:eastAsiaTheme="majorEastAsia" w:cs="Times New Roman"/>
        </w:rPr>
        <w:t>unding.</w:t>
      </w:r>
    </w:p>
    <w:p w:rsidR="007D0816" w:rsidRPr="00BD00A4" w:rsidRDefault="007D0816" w:rsidP="007D0816">
      <w:pPr>
        <w:rPr>
          <w:rFonts w:eastAsia="Times New Roman" w:cs="Times New Roman"/>
        </w:rPr>
      </w:pPr>
      <w:r w:rsidRPr="00EE3C17">
        <w:rPr>
          <w:rFonts w:eastAsia="Times New Roman" w:cs="Times New Roman"/>
          <w:b/>
        </w:rPr>
        <w:t>Project Funding</w:t>
      </w:r>
      <w:r w:rsidRPr="00BD00A4">
        <w:rPr>
          <w:rFonts w:eastAsia="Times New Roman" w:cs="Times New Roman"/>
        </w:rPr>
        <w:t xml:space="preserve"> </w:t>
      </w:r>
      <w:r w:rsidR="00EE3C17">
        <w:rPr>
          <w:rFonts w:eastAsia="Times New Roman" w:cs="Times New Roman"/>
        </w:rPr>
        <w:t>–</w:t>
      </w:r>
      <w:r w:rsidR="00A12F91">
        <w:rPr>
          <w:rFonts w:eastAsia="Times New Roman" w:cs="Times New Roman"/>
        </w:rPr>
        <w:t xml:space="preserve"> Project f</w:t>
      </w:r>
      <w:r w:rsidR="00EE3C17">
        <w:rPr>
          <w:rFonts w:eastAsia="Times New Roman" w:cs="Times New Roman"/>
        </w:rPr>
        <w:t xml:space="preserve">unding </w:t>
      </w:r>
      <w:r w:rsidRPr="00BD00A4">
        <w:rPr>
          <w:rFonts w:eastAsia="Times New Roman" w:cs="Times New Roman"/>
        </w:rPr>
        <w:t>will support the organisation to undertake time limited initiatives aimed at enhancing organisational impact in the community based on identified priorities and local need. This could include funding for initiatives such as:</w:t>
      </w:r>
    </w:p>
    <w:p w:rsidR="00831705" w:rsidRPr="00831705" w:rsidRDefault="00831705" w:rsidP="00831705">
      <w:pPr>
        <w:numPr>
          <w:ilvl w:val="0"/>
          <w:numId w:val="18"/>
        </w:numPr>
        <w:contextualSpacing/>
        <w:rPr>
          <w:rFonts w:eastAsia="Times New Roman" w:cs="Times New Roman"/>
        </w:rPr>
      </w:pPr>
      <w:r w:rsidRPr="00831705">
        <w:rPr>
          <w:rFonts w:eastAsia="Times New Roman" w:cs="Times New Roman"/>
        </w:rPr>
        <w:lastRenderedPageBreak/>
        <w:t>Funding for a community development role that will focus on community outreach and community initiatives.</w:t>
      </w:r>
    </w:p>
    <w:p w:rsidR="00831705" w:rsidRPr="00831705" w:rsidRDefault="00831705" w:rsidP="00831705">
      <w:pPr>
        <w:numPr>
          <w:ilvl w:val="0"/>
          <w:numId w:val="18"/>
        </w:numPr>
        <w:contextualSpacing/>
        <w:rPr>
          <w:rFonts w:eastAsia="Times New Roman" w:cs="Times New Roman"/>
        </w:rPr>
      </w:pPr>
      <w:r w:rsidRPr="00831705">
        <w:rPr>
          <w:rFonts w:eastAsia="Times New Roman" w:cs="Times New Roman"/>
        </w:rPr>
        <w:t xml:space="preserve">Funding for a health and well-being role that will focus on supporting those in the community </w:t>
      </w:r>
      <w:r w:rsidR="00A12F91">
        <w:rPr>
          <w:rFonts w:eastAsia="Times New Roman" w:cs="Times New Roman"/>
        </w:rPr>
        <w:t>who</w:t>
      </w:r>
      <w:r w:rsidRPr="00831705">
        <w:rPr>
          <w:rFonts w:eastAsia="Times New Roman" w:cs="Times New Roman"/>
        </w:rPr>
        <w:t xml:space="preserve"> wish to live healthier lifestyles i.e. the elderly and those who are overweight.</w:t>
      </w:r>
    </w:p>
    <w:p w:rsidR="00831705" w:rsidRDefault="00831705" w:rsidP="00831705">
      <w:pPr>
        <w:numPr>
          <w:ilvl w:val="0"/>
          <w:numId w:val="18"/>
        </w:numPr>
        <w:contextualSpacing/>
        <w:rPr>
          <w:rFonts w:eastAsia="Times New Roman" w:cs="Times New Roman"/>
        </w:rPr>
      </w:pPr>
      <w:r w:rsidRPr="00831705">
        <w:rPr>
          <w:rFonts w:eastAsia="Times New Roman" w:cs="Times New Roman"/>
        </w:rPr>
        <w:t>Funding to support employability programmes which will enable the Centre to work with those who have barriers to entering the job market.</w:t>
      </w:r>
    </w:p>
    <w:p w:rsidR="00C75D8B" w:rsidRDefault="00C75D8B" w:rsidP="00831705">
      <w:pPr>
        <w:numPr>
          <w:ilvl w:val="0"/>
          <w:numId w:val="18"/>
        </w:numPr>
        <w:contextualSpacing/>
        <w:rPr>
          <w:rFonts w:eastAsia="Times New Roman" w:cs="Times New Roman"/>
        </w:rPr>
      </w:pPr>
      <w:r>
        <w:rPr>
          <w:rFonts w:eastAsia="Times New Roman" w:cs="Times New Roman"/>
        </w:rPr>
        <w:t xml:space="preserve">Funding focussing on volunteer development initiatives.  </w:t>
      </w:r>
    </w:p>
    <w:p w:rsidR="00831705" w:rsidRPr="00831705" w:rsidRDefault="00831705" w:rsidP="00C75D8B">
      <w:pPr>
        <w:ind w:left="720"/>
        <w:contextualSpacing/>
        <w:rPr>
          <w:rFonts w:eastAsia="Times New Roman" w:cs="Times New Roman"/>
        </w:rPr>
      </w:pPr>
    </w:p>
    <w:p w:rsidR="007D0816" w:rsidRPr="00BD00A4" w:rsidRDefault="007D0816" w:rsidP="007D0816">
      <w:pPr>
        <w:rPr>
          <w:rFonts w:eastAsia="Times New Roman" w:cs="Times New Roman"/>
        </w:rPr>
      </w:pPr>
      <w:r w:rsidRPr="00EE3C17">
        <w:rPr>
          <w:rFonts w:eastAsia="Times New Roman" w:cs="Times New Roman"/>
          <w:b/>
        </w:rPr>
        <w:t xml:space="preserve">Organisational Development </w:t>
      </w:r>
      <w:r w:rsidR="00EE3C17" w:rsidRPr="00EE3C17">
        <w:rPr>
          <w:rFonts w:eastAsia="Times New Roman" w:cs="Times New Roman"/>
          <w:b/>
        </w:rPr>
        <w:t>Funding</w:t>
      </w:r>
      <w:r w:rsidR="00EE3C17" w:rsidRPr="00BD00A4">
        <w:rPr>
          <w:rFonts w:eastAsia="Times New Roman" w:cs="Times New Roman"/>
        </w:rPr>
        <w:t xml:space="preserve"> </w:t>
      </w:r>
      <w:r w:rsidR="00EE3C17">
        <w:rPr>
          <w:rFonts w:eastAsia="Times New Roman" w:cs="Times New Roman"/>
        </w:rPr>
        <w:t xml:space="preserve">- Development funding </w:t>
      </w:r>
      <w:r w:rsidRPr="00BD00A4">
        <w:rPr>
          <w:rFonts w:eastAsia="Times New Roman" w:cs="Times New Roman"/>
        </w:rPr>
        <w:t>will support the organisation to develop and maximise income opportunities and improve organisational capacity and capabilities. This could include funding for initiatives such as:</w:t>
      </w:r>
    </w:p>
    <w:p w:rsidR="007D0816" w:rsidRPr="00BD00A4" w:rsidRDefault="007D0816" w:rsidP="007D0816">
      <w:pPr>
        <w:numPr>
          <w:ilvl w:val="0"/>
          <w:numId w:val="17"/>
        </w:numPr>
        <w:contextualSpacing/>
        <w:rPr>
          <w:rFonts w:eastAsia="Times New Roman" w:cs="Times New Roman"/>
        </w:rPr>
      </w:pPr>
      <w:r w:rsidRPr="00BD00A4">
        <w:rPr>
          <w:rFonts w:eastAsia="Times New Roman" w:cs="Times New Roman"/>
        </w:rPr>
        <w:t>Business development staff such as a marketing officer.</w:t>
      </w:r>
    </w:p>
    <w:p w:rsidR="007D0816" w:rsidRPr="00BD00A4" w:rsidRDefault="007D0816" w:rsidP="007D0816">
      <w:pPr>
        <w:numPr>
          <w:ilvl w:val="0"/>
          <w:numId w:val="17"/>
        </w:numPr>
        <w:contextualSpacing/>
        <w:rPr>
          <w:rFonts w:eastAsia="Times New Roman" w:cs="Times New Roman"/>
        </w:rPr>
      </w:pPr>
      <w:r w:rsidRPr="00BD00A4">
        <w:rPr>
          <w:rFonts w:eastAsia="Times New Roman" w:cs="Times New Roman"/>
        </w:rPr>
        <w:t>Business development activities such as the development of marketing material or the development of a website.</w:t>
      </w:r>
    </w:p>
    <w:p w:rsidR="007D0816" w:rsidRPr="00BD00A4" w:rsidRDefault="007D0816" w:rsidP="007D0816">
      <w:pPr>
        <w:numPr>
          <w:ilvl w:val="0"/>
          <w:numId w:val="17"/>
        </w:numPr>
        <w:contextualSpacing/>
        <w:rPr>
          <w:rFonts w:eastAsia="Times New Roman" w:cs="Times New Roman"/>
        </w:rPr>
      </w:pPr>
      <w:r w:rsidRPr="00BD00A4">
        <w:rPr>
          <w:rFonts w:eastAsia="Times New Roman" w:cs="Times New Roman"/>
        </w:rPr>
        <w:t>Staff and volunteer training and development.</w:t>
      </w:r>
    </w:p>
    <w:p w:rsidR="007D0816" w:rsidRDefault="007D0816" w:rsidP="007D0816">
      <w:pPr>
        <w:numPr>
          <w:ilvl w:val="0"/>
          <w:numId w:val="17"/>
        </w:numPr>
        <w:contextualSpacing/>
        <w:rPr>
          <w:rFonts w:eastAsia="Times New Roman" w:cs="Times New Roman"/>
        </w:rPr>
      </w:pPr>
      <w:r w:rsidRPr="00BD00A4">
        <w:rPr>
          <w:rFonts w:eastAsia="Times New Roman" w:cs="Times New Roman"/>
        </w:rPr>
        <w:t xml:space="preserve">Organisational monitoring and evaluation. </w:t>
      </w:r>
    </w:p>
    <w:p w:rsidR="007D0816" w:rsidRPr="00BD00A4" w:rsidRDefault="007D0816" w:rsidP="007D0816">
      <w:pPr>
        <w:ind w:left="720"/>
        <w:contextualSpacing/>
        <w:rPr>
          <w:rFonts w:eastAsia="Times New Roman" w:cs="Times New Roman"/>
        </w:rPr>
      </w:pPr>
    </w:p>
    <w:p w:rsidR="007D0816" w:rsidRPr="00BD00A4" w:rsidRDefault="007D0816" w:rsidP="007D0816">
      <w:pPr>
        <w:rPr>
          <w:rFonts w:eastAsia="Times New Roman" w:cs="Times New Roman"/>
        </w:rPr>
      </w:pPr>
      <w:r w:rsidRPr="00EE3C17">
        <w:rPr>
          <w:rFonts w:eastAsia="Times New Roman" w:cs="Times New Roman"/>
          <w:b/>
        </w:rPr>
        <w:t>Capital Funding</w:t>
      </w:r>
      <w:r w:rsidRPr="00BD00A4">
        <w:rPr>
          <w:rFonts w:eastAsia="Times New Roman" w:cs="Times New Roman"/>
        </w:rPr>
        <w:t xml:space="preserve"> </w:t>
      </w:r>
      <w:r w:rsidR="00EE3C17">
        <w:rPr>
          <w:rFonts w:eastAsia="Times New Roman" w:cs="Times New Roman"/>
        </w:rPr>
        <w:t xml:space="preserve">– Capital </w:t>
      </w:r>
      <w:r w:rsidR="00714834">
        <w:rPr>
          <w:rFonts w:eastAsia="Times New Roman" w:cs="Times New Roman"/>
        </w:rPr>
        <w:t>f</w:t>
      </w:r>
      <w:r w:rsidR="00EE3C17">
        <w:rPr>
          <w:rFonts w:eastAsia="Times New Roman" w:cs="Times New Roman"/>
        </w:rPr>
        <w:t xml:space="preserve">unding </w:t>
      </w:r>
      <w:r w:rsidRPr="00BD00A4">
        <w:rPr>
          <w:rFonts w:eastAsia="Times New Roman" w:cs="Times New Roman"/>
        </w:rPr>
        <w:t>will support the upgrading of buildings, equipment or refurbishment costs. This could include funding for initiatives such as:</w:t>
      </w:r>
    </w:p>
    <w:p w:rsidR="007D0816" w:rsidRPr="00BD00A4" w:rsidRDefault="007D0816" w:rsidP="007D0816">
      <w:pPr>
        <w:numPr>
          <w:ilvl w:val="0"/>
          <w:numId w:val="19"/>
        </w:numPr>
        <w:contextualSpacing/>
        <w:rPr>
          <w:rFonts w:eastAsia="Times New Roman" w:cs="Times New Roman"/>
        </w:rPr>
      </w:pPr>
      <w:r w:rsidRPr="00BD00A4">
        <w:rPr>
          <w:rFonts w:eastAsia="Times New Roman" w:cs="Times New Roman"/>
        </w:rPr>
        <w:t xml:space="preserve">Replacement or upgrading of gym or sporting equipment. </w:t>
      </w:r>
    </w:p>
    <w:p w:rsidR="007D0816" w:rsidRDefault="007D0816" w:rsidP="007D0816">
      <w:pPr>
        <w:numPr>
          <w:ilvl w:val="0"/>
          <w:numId w:val="19"/>
        </w:numPr>
        <w:contextualSpacing/>
        <w:rPr>
          <w:rFonts w:eastAsia="Times New Roman" w:cs="Times New Roman"/>
        </w:rPr>
      </w:pPr>
      <w:r w:rsidRPr="00BD00A4">
        <w:rPr>
          <w:rFonts w:eastAsia="Times New Roman" w:cs="Times New Roman"/>
        </w:rPr>
        <w:t xml:space="preserve">New I.T equipment. </w:t>
      </w:r>
    </w:p>
    <w:p w:rsidR="00C75D8B" w:rsidRDefault="00C75D8B" w:rsidP="007D0816">
      <w:pPr>
        <w:numPr>
          <w:ilvl w:val="0"/>
          <w:numId w:val="19"/>
        </w:numPr>
        <w:contextualSpacing/>
        <w:rPr>
          <w:rFonts w:eastAsia="Times New Roman" w:cs="Times New Roman"/>
        </w:rPr>
      </w:pPr>
      <w:r>
        <w:rPr>
          <w:rFonts w:eastAsia="Times New Roman" w:cs="Times New Roman"/>
        </w:rPr>
        <w:t>Building development or extensions.</w:t>
      </w:r>
    </w:p>
    <w:p w:rsidR="007D0816" w:rsidRPr="00BD00A4" w:rsidRDefault="007D0816" w:rsidP="007D0816">
      <w:pPr>
        <w:ind w:left="720"/>
        <w:contextualSpacing/>
        <w:rPr>
          <w:rFonts w:eastAsia="Times New Roman" w:cs="Times New Roman"/>
        </w:rPr>
      </w:pPr>
    </w:p>
    <w:p w:rsidR="007D0816" w:rsidRPr="00BD00A4" w:rsidRDefault="007D0816" w:rsidP="007D0816">
      <w:pPr>
        <w:rPr>
          <w:rFonts w:eastAsia="Times New Roman" w:cs="Times New Roman"/>
        </w:rPr>
      </w:pPr>
      <w:r w:rsidRPr="00BD00A4">
        <w:rPr>
          <w:rFonts w:eastAsia="Times New Roman" w:cs="Times New Roman"/>
        </w:rPr>
        <w:t>All of the above initiatives are only indicative of the types of funding related activities that the organisation will undertake.</w:t>
      </w:r>
      <w:r w:rsidR="00C75D8B">
        <w:rPr>
          <w:rFonts w:eastAsia="Times New Roman" w:cs="Times New Roman"/>
        </w:rPr>
        <w:t xml:space="preserve"> MCRG</w:t>
      </w:r>
      <w:r w:rsidR="00A12F91">
        <w:rPr>
          <w:rFonts w:eastAsia="Times New Roman" w:cs="Times New Roman"/>
        </w:rPr>
        <w:t>’s</w:t>
      </w:r>
      <w:r w:rsidR="00C75D8B">
        <w:rPr>
          <w:rFonts w:eastAsia="Times New Roman" w:cs="Times New Roman"/>
        </w:rPr>
        <w:t xml:space="preserve"> approach to ongoing funding opportunities will be to:</w:t>
      </w:r>
    </w:p>
    <w:p w:rsidR="007D0816" w:rsidRPr="00BD00A4" w:rsidRDefault="007D0816" w:rsidP="007D0816">
      <w:pPr>
        <w:numPr>
          <w:ilvl w:val="0"/>
          <w:numId w:val="19"/>
        </w:numPr>
        <w:contextualSpacing/>
        <w:rPr>
          <w:rFonts w:eastAsia="Times New Roman" w:cs="Times New Roman"/>
        </w:rPr>
      </w:pPr>
      <w:r w:rsidRPr="00BD00A4">
        <w:rPr>
          <w:rFonts w:eastAsia="Times New Roman" w:cs="Times New Roman"/>
        </w:rPr>
        <w:t>Identify initiatives and opportunities that could be externally funded.</w:t>
      </w:r>
    </w:p>
    <w:p w:rsidR="007D0816" w:rsidRPr="00BD00A4" w:rsidRDefault="007D0816" w:rsidP="007D0816">
      <w:pPr>
        <w:numPr>
          <w:ilvl w:val="0"/>
          <w:numId w:val="19"/>
        </w:numPr>
        <w:contextualSpacing/>
        <w:rPr>
          <w:rFonts w:eastAsia="Times New Roman" w:cs="Times New Roman"/>
        </w:rPr>
      </w:pPr>
      <w:r w:rsidRPr="00BD00A4">
        <w:rPr>
          <w:rFonts w:eastAsia="Times New Roman" w:cs="Times New Roman"/>
        </w:rPr>
        <w:t xml:space="preserve">Match these initiatives and opportunities to available funding. </w:t>
      </w:r>
    </w:p>
    <w:p w:rsidR="007D0816" w:rsidRPr="00BD00A4" w:rsidRDefault="007D0816" w:rsidP="007D0816">
      <w:pPr>
        <w:numPr>
          <w:ilvl w:val="0"/>
          <w:numId w:val="19"/>
        </w:numPr>
        <w:contextualSpacing/>
        <w:rPr>
          <w:rFonts w:eastAsia="Times New Roman" w:cs="Times New Roman"/>
        </w:rPr>
      </w:pPr>
      <w:r w:rsidRPr="00BD00A4">
        <w:rPr>
          <w:rFonts w:eastAsia="Times New Roman" w:cs="Times New Roman"/>
        </w:rPr>
        <w:t>Develop</w:t>
      </w:r>
      <w:r w:rsidR="00A12F91">
        <w:rPr>
          <w:rFonts w:eastAsia="Times New Roman" w:cs="Times New Roman"/>
        </w:rPr>
        <w:t xml:space="preserve"> </w:t>
      </w:r>
      <w:r w:rsidRPr="00BD00A4">
        <w:rPr>
          <w:rFonts w:eastAsia="Times New Roman" w:cs="Times New Roman"/>
        </w:rPr>
        <w:t>funding bids and fundraising to support specific initiatives.</w:t>
      </w:r>
    </w:p>
    <w:p w:rsidR="007D0816" w:rsidRPr="00BD00A4" w:rsidRDefault="00C75D8B" w:rsidP="00C75D8B">
      <w:pPr>
        <w:numPr>
          <w:ilvl w:val="0"/>
          <w:numId w:val="19"/>
        </w:numPr>
        <w:contextualSpacing/>
        <w:rPr>
          <w:rFonts w:eastAsia="Times New Roman" w:cs="Times New Roman"/>
        </w:rPr>
      </w:pPr>
      <w:r>
        <w:rPr>
          <w:rFonts w:eastAsia="Times New Roman" w:cs="Times New Roman"/>
        </w:rPr>
        <w:t>Undertake m</w:t>
      </w:r>
      <w:r w:rsidR="007D0816" w:rsidRPr="00BD00A4">
        <w:rPr>
          <w:rFonts w:eastAsia="Times New Roman" w:cs="Times New Roman"/>
        </w:rPr>
        <w:t xml:space="preserve">onitoring and evaluating </w:t>
      </w:r>
      <w:r>
        <w:rPr>
          <w:rFonts w:eastAsia="Times New Roman" w:cs="Times New Roman"/>
        </w:rPr>
        <w:t xml:space="preserve">of successfully funded </w:t>
      </w:r>
      <w:r w:rsidRPr="00C75D8B">
        <w:rPr>
          <w:rFonts w:eastAsia="Times New Roman" w:cs="Times New Roman"/>
        </w:rPr>
        <w:t xml:space="preserve">initiatives </w:t>
      </w:r>
      <w:r w:rsidR="007D0816" w:rsidRPr="00BD00A4">
        <w:rPr>
          <w:rFonts w:eastAsia="Times New Roman" w:cs="Times New Roman"/>
        </w:rPr>
        <w:t xml:space="preserve">and </w:t>
      </w:r>
      <w:r>
        <w:rPr>
          <w:rFonts w:eastAsia="Times New Roman" w:cs="Times New Roman"/>
        </w:rPr>
        <w:t>prepare</w:t>
      </w:r>
      <w:r w:rsidR="007D0816" w:rsidRPr="00BD00A4">
        <w:rPr>
          <w:rFonts w:eastAsia="Times New Roman" w:cs="Times New Roman"/>
        </w:rPr>
        <w:t xml:space="preserve"> reports for funders and trustees.</w:t>
      </w:r>
    </w:p>
    <w:p w:rsidR="007D0816" w:rsidRPr="006E7B95" w:rsidRDefault="007D0816" w:rsidP="00C05A06"/>
    <w:sectPr w:rsidR="007D0816" w:rsidRPr="006E7B95" w:rsidSect="004441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F91"/>
    <w:multiLevelType w:val="hybridMultilevel"/>
    <w:tmpl w:val="CCA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13752"/>
    <w:multiLevelType w:val="hybridMultilevel"/>
    <w:tmpl w:val="FBDC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E4B54"/>
    <w:multiLevelType w:val="hybridMultilevel"/>
    <w:tmpl w:val="105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227A4"/>
    <w:multiLevelType w:val="hybridMultilevel"/>
    <w:tmpl w:val="0E8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83633"/>
    <w:multiLevelType w:val="hybridMultilevel"/>
    <w:tmpl w:val="F5DA33A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nsid w:val="0F5E3395"/>
    <w:multiLevelType w:val="hybridMultilevel"/>
    <w:tmpl w:val="229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9635E"/>
    <w:multiLevelType w:val="hybridMultilevel"/>
    <w:tmpl w:val="B784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C49C8"/>
    <w:multiLevelType w:val="hybridMultilevel"/>
    <w:tmpl w:val="67A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D4A03"/>
    <w:multiLevelType w:val="hybridMultilevel"/>
    <w:tmpl w:val="24B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17A03"/>
    <w:multiLevelType w:val="hybridMultilevel"/>
    <w:tmpl w:val="32D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02C3D"/>
    <w:multiLevelType w:val="hybridMultilevel"/>
    <w:tmpl w:val="D90C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E57BB2"/>
    <w:multiLevelType w:val="hybridMultilevel"/>
    <w:tmpl w:val="5622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23259"/>
    <w:multiLevelType w:val="hybridMultilevel"/>
    <w:tmpl w:val="9F762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8C25B7"/>
    <w:multiLevelType w:val="hybridMultilevel"/>
    <w:tmpl w:val="D5329F58"/>
    <w:lvl w:ilvl="0" w:tplc="5E72C1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017FE"/>
    <w:multiLevelType w:val="hybridMultilevel"/>
    <w:tmpl w:val="4B0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4329A"/>
    <w:multiLevelType w:val="hybridMultilevel"/>
    <w:tmpl w:val="E750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6F0E93"/>
    <w:multiLevelType w:val="hybridMultilevel"/>
    <w:tmpl w:val="B38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716AD8"/>
    <w:multiLevelType w:val="hybridMultilevel"/>
    <w:tmpl w:val="5FC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4C24A3"/>
    <w:multiLevelType w:val="hybridMultilevel"/>
    <w:tmpl w:val="50CE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819F2"/>
    <w:multiLevelType w:val="hybridMultilevel"/>
    <w:tmpl w:val="06EE14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6254D2A"/>
    <w:multiLevelType w:val="hybridMultilevel"/>
    <w:tmpl w:val="375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E8534C"/>
    <w:multiLevelType w:val="hybridMultilevel"/>
    <w:tmpl w:val="B390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9"/>
  </w:num>
  <w:num w:numId="4">
    <w:abstractNumId w:val="10"/>
  </w:num>
  <w:num w:numId="5">
    <w:abstractNumId w:val="13"/>
  </w:num>
  <w:num w:numId="6">
    <w:abstractNumId w:val="12"/>
  </w:num>
  <w:num w:numId="7">
    <w:abstractNumId w:val="15"/>
  </w:num>
  <w:num w:numId="8">
    <w:abstractNumId w:val="4"/>
  </w:num>
  <w:num w:numId="9">
    <w:abstractNumId w:val="8"/>
  </w:num>
  <w:num w:numId="10">
    <w:abstractNumId w:val="17"/>
  </w:num>
  <w:num w:numId="11">
    <w:abstractNumId w:val="20"/>
  </w:num>
  <w:num w:numId="12">
    <w:abstractNumId w:val="3"/>
  </w:num>
  <w:num w:numId="13">
    <w:abstractNumId w:val="16"/>
  </w:num>
  <w:num w:numId="14">
    <w:abstractNumId w:val="7"/>
  </w:num>
  <w:num w:numId="15">
    <w:abstractNumId w:val="18"/>
  </w:num>
  <w:num w:numId="16">
    <w:abstractNumId w:val="5"/>
  </w:num>
  <w:num w:numId="17">
    <w:abstractNumId w:val="2"/>
  </w:num>
  <w:num w:numId="18">
    <w:abstractNumId w:val="14"/>
  </w:num>
  <w:num w:numId="19">
    <w:abstractNumId w:val="11"/>
  </w:num>
  <w:num w:numId="20">
    <w:abstractNumId w:val="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7"/>
    <w:rsid w:val="000145D2"/>
    <w:rsid w:val="000325D1"/>
    <w:rsid w:val="00043031"/>
    <w:rsid w:val="000509C7"/>
    <w:rsid w:val="00067FA4"/>
    <w:rsid w:val="000A1450"/>
    <w:rsid w:val="000A35D4"/>
    <w:rsid w:val="001077D8"/>
    <w:rsid w:val="00133EBD"/>
    <w:rsid w:val="00135D85"/>
    <w:rsid w:val="00153342"/>
    <w:rsid w:val="001547FE"/>
    <w:rsid w:val="001779F7"/>
    <w:rsid w:val="00177E7D"/>
    <w:rsid w:val="001940C3"/>
    <w:rsid w:val="001A7C1A"/>
    <w:rsid w:val="00223705"/>
    <w:rsid w:val="00226CF7"/>
    <w:rsid w:val="002426FF"/>
    <w:rsid w:val="002726F5"/>
    <w:rsid w:val="00275F8F"/>
    <w:rsid w:val="002B336F"/>
    <w:rsid w:val="002B4E4E"/>
    <w:rsid w:val="002C250A"/>
    <w:rsid w:val="002D13CE"/>
    <w:rsid w:val="00391CCB"/>
    <w:rsid w:val="003E3961"/>
    <w:rsid w:val="00400AC7"/>
    <w:rsid w:val="00424E74"/>
    <w:rsid w:val="004441AD"/>
    <w:rsid w:val="00471A43"/>
    <w:rsid w:val="004920A1"/>
    <w:rsid w:val="00495C66"/>
    <w:rsid w:val="004B43C2"/>
    <w:rsid w:val="004D38D3"/>
    <w:rsid w:val="005045EA"/>
    <w:rsid w:val="00514CDE"/>
    <w:rsid w:val="005259EE"/>
    <w:rsid w:val="00533EA7"/>
    <w:rsid w:val="00583381"/>
    <w:rsid w:val="005C0031"/>
    <w:rsid w:val="005D74DA"/>
    <w:rsid w:val="00635FE1"/>
    <w:rsid w:val="00640441"/>
    <w:rsid w:val="00655C74"/>
    <w:rsid w:val="006A4887"/>
    <w:rsid w:val="006E7B95"/>
    <w:rsid w:val="00714834"/>
    <w:rsid w:val="0073469D"/>
    <w:rsid w:val="007358D8"/>
    <w:rsid w:val="00756A52"/>
    <w:rsid w:val="00794D16"/>
    <w:rsid w:val="007B26A1"/>
    <w:rsid w:val="007B44D2"/>
    <w:rsid w:val="007C36A2"/>
    <w:rsid w:val="007D0816"/>
    <w:rsid w:val="007F2D6D"/>
    <w:rsid w:val="007F2F7C"/>
    <w:rsid w:val="008030B8"/>
    <w:rsid w:val="00806481"/>
    <w:rsid w:val="00807233"/>
    <w:rsid w:val="00825057"/>
    <w:rsid w:val="00831705"/>
    <w:rsid w:val="0085367F"/>
    <w:rsid w:val="00855D5B"/>
    <w:rsid w:val="008573C3"/>
    <w:rsid w:val="008740B2"/>
    <w:rsid w:val="008C3B97"/>
    <w:rsid w:val="008F5A05"/>
    <w:rsid w:val="0093730A"/>
    <w:rsid w:val="00982268"/>
    <w:rsid w:val="009E623C"/>
    <w:rsid w:val="009E7707"/>
    <w:rsid w:val="009F0043"/>
    <w:rsid w:val="009F2038"/>
    <w:rsid w:val="009F77F2"/>
    <w:rsid w:val="00A12F91"/>
    <w:rsid w:val="00A15C26"/>
    <w:rsid w:val="00A17362"/>
    <w:rsid w:val="00A55A73"/>
    <w:rsid w:val="00A60C02"/>
    <w:rsid w:val="00A96874"/>
    <w:rsid w:val="00AF44E1"/>
    <w:rsid w:val="00AF6808"/>
    <w:rsid w:val="00B50B2D"/>
    <w:rsid w:val="00B7643F"/>
    <w:rsid w:val="00BB1CB9"/>
    <w:rsid w:val="00BC0A17"/>
    <w:rsid w:val="00BC35C6"/>
    <w:rsid w:val="00BD00A4"/>
    <w:rsid w:val="00BD304E"/>
    <w:rsid w:val="00BD6297"/>
    <w:rsid w:val="00BE47A9"/>
    <w:rsid w:val="00C05A06"/>
    <w:rsid w:val="00C15339"/>
    <w:rsid w:val="00C263F1"/>
    <w:rsid w:val="00C34E17"/>
    <w:rsid w:val="00C35B45"/>
    <w:rsid w:val="00C75D8B"/>
    <w:rsid w:val="00C76B99"/>
    <w:rsid w:val="00C97C31"/>
    <w:rsid w:val="00CA3951"/>
    <w:rsid w:val="00CB223E"/>
    <w:rsid w:val="00D535AC"/>
    <w:rsid w:val="00D54668"/>
    <w:rsid w:val="00D61FCB"/>
    <w:rsid w:val="00D756B7"/>
    <w:rsid w:val="00D814F5"/>
    <w:rsid w:val="00D9312B"/>
    <w:rsid w:val="00DC0216"/>
    <w:rsid w:val="00DE4BF7"/>
    <w:rsid w:val="00E15B58"/>
    <w:rsid w:val="00E25865"/>
    <w:rsid w:val="00E4446E"/>
    <w:rsid w:val="00E44A10"/>
    <w:rsid w:val="00E739F9"/>
    <w:rsid w:val="00E86F9A"/>
    <w:rsid w:val="00E90950"/>
    <w:rsid w:val="00EB3011"/>
    <w:rsid w:val="00EE3C17"/>
    <w:rsid w:val="00F079EA"/>
    <w:rsid w:val="00F64865"/>
    <w:rsid w:val="00F91A89"/>
    <w:rsid w:val="00FB1A8C"/>
    <w:rsid w:val="00FD6C8F"/>
    <w:rsid w:val="00FE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8"/>
  </w:style>
  <w:style w:type="paragraph" w:styleId="Heading1">
    <w:name w:val="heading 1"/>
    <w:basedOn w:val="Normal"/>
    <w:next w:val="Normal"/>
    <w:link w:val="Heading1Char"/>
    <w:uiPriority w:val="9"/>
    <w:qFormat/>
    <w:rsid w:val="00BD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6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6297"/>
    <w:pPr>
      <w:ind w:left="720"/>
      <w:contextualSpacing/>
    </w:pPr>
  </w:style>
  <w:style w:type="paragraph" w:styleId="NoSpacing">
    <w:name w:val="No Spacing"/>
    <w:link w:val="NoSpacingChar"/>
    <w:uiPriority w:val="1"/>
    <w:qFormat/>
    <w:rsid w:val="007F2D6D"/>
    <w:pPr>
      <w:spacing w:after="0" w:line="240" w:lineRule="auto"/>
    </w:pPr>
  </w:style>
  <w:style w:type="character" w:customStyle="1" w:styleId="Heading2Char">
    <w:name w:val="Heading 2 Char"/>
    <w:basedOn w:val="DefaultParagraphFont"/>
    <w:link w:val="Heading2"/>
    <w:uiPriority w:val="9"/>
    <w:rsid w:val="00424E7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CB"/>
    <w:pPr>
      <w:outlineLvl w:val="9"/>
    </w:pPr>
    <w:rPr>
      <w:lang w:val="en-US" w:eastAsia="ja-JP"/>
    </w:rPr>
  </w:style>
  <w:style w:type="paragraph" w:styleId="TOC1">
    <w:name w:val="toc 1"/>
    <w:basedOn w:val="Normal"/>
    <w:next w:val="Normal"/>
    <w:autoRedefine/>
    <w:uiPriority w:val="39"/>
    <w:unhideWhenUsed/>
    <w:rsid w:val="00391CCB"/>
    <w:pPr>
      <w:spacing w:after="100"/>
    </w:pPr>
  </w:style>
  <w:style w:type="paragraph" w:styleId="TOC2">
    <w:name w:val="toc 2"/>
    <w:basedOn w:val="Normal"/>
    <w:next w:val="Normal"/>
    <w:autoRedefine/>
    <w:uiPriority w:val="39"/>
    <w:unhideWhenUsed/>
    <w:rsid w:val="00391CCB"/>
    <w:pPr>
      <w:spacing w:after="100"/>
      <w:ind w:left="220"/>
    </w:pPr>
  </w:style>
  <w:style w:type="character" w:styleId="Hyperlink">
    <w:name w:val="Hyperlink"/>
    <w:basedOn w:val="DefaultParagraphFont"/>
    <w:uiPriority w:val="99"/>
    <w:unhideWhenUsed/>
    <w:rsid w:val="00391CCB"/>
    <w:rPr>
      <w:color w:val="0000FF" w:themeColor="hyperlink"/>
      <w:u w:val="single"/>
    </w:rPr>
  </w:style>
  <w:style w:type="paragraph" w:styleId="BalloonText">
    <w:name w:val="Balloon Text"/>
    <w:basedOn w:val="Normal"/>
    <w:link w:val="BalloonTextChar"/>
    <w:uiPriority w:val="99"/>
    <w:semiHidden/>
    <w:unhideWhenUsed/>
    <w:rsid w:val="0039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CB"/>
    <w:rPr>
      <w:rFonts w:ascii="Tahoma" w:hAnsi="Tahoma" w:cs="Tahoma"/>
      <w:sz w:val="16"/>
      <w:szCs w:val="16"/>
    </w:rPr>
  </w:style>
  <w:style w:type="character" w:customStyle="1" w:styleId="NoSpacingChar">
    <w:name w:val="No Spacing Char"/>
    <w:basedOn w:val="DefaultParagraphFont"/>
    <w:link w:val="NoSpacing"/>
    <w:uiPriority w:val="1"/>
    <w:rsid w:val="00391CCB"/>
  </w:style>
  <w:style w:type="character" w:customStyle="1" w:styleId="Heading3Char">
    <w:name w:val="Heading 3 Char"/>
    <w:basedOn w:val="DefaultParagraphFont"/>
    <w:link w:val="Heading3"/>
    <w:uiPriority w:val="9"/>
    <w:rsid w:val="0073469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3EA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8"/>
  </w:style>
  <w:style w:type="paragraph" w:styleId="Heading1">
    <w:name w:val="heading 1"/>
    <w:basedOn w:val="Normal"/>
    <w:next w:val="Normal"/>
    <w:link w:val="Heading1Char"/>
    <w:uiPriority w:val="9"/>
    <w:qFormat/>
    <w:rsid w:val="00BD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6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6297"/>
    <w:pPr>
      <w:ind w:left="720"/>
      <w:contextualSpacing/>
    </w:pPr>
  </w:style>
  <w:style w:type="paragraph" w:styleId="NoSpacing">
    <w:name w:val="No Spacing"/>
    <w:link w:val="NoSpacingChar"/>
    <w:uiPriority w:val="1"/>
    <w:qFormat/>
    <w:rsid w:val="007F2D6D"/>
    <w:pPr>
      <w:spacing w:after="0" w:line="240" w:lineRule="auto"/>
    </w:pPr>
  </w:style>
  <w:style w:type="character" w:customStyle="1" w:styleId="Heading2Char">
    <w:name w:val="Heading 2 Char"/>
    <w:basedOn w:val="DefaultParagraphFont"/>
    <w:link w:val="Heading2"/>
    <w:uiPriority w:val="9"/>
    <w:rsid w:val="00424E7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CB"/>
    <w:pPr>
      <w:outlineLvl w:val="9"/>
    </w:pPr>
    <w:rPr>
      <w:lang w:val="en-US" w:eastAsia="ja-JP"/>
    </w:rPr>
  </w:style>
  <w:style w:type="paragraph" w:styleId="TOC1">
    <w:name w:val="toc 1"/>
    <w:basedOn w:val="Normal"/>
    <w:next w:val="Normal"/>
    <w:autoRedefine/>
    <w:uiPriority w:val="39"/>
    <w:unhideWhenUsed/>
    <w:rsid w:val="00391CCB"/>
    <w:pPr>
      <w:spacing w:after="100"/>
    </w:pPr>
  </w:style>
  <w:style w:type="paragraph" w:styleId="TOC2">
    <w:name w:val="toc 2"/>
    <w:basedOn w:val="Normal"/>
    <w:next w:val="Normal"/>
    <w:autoRedefine/>
    <w:uiPriority w:val="39"/>
    <w:unhideWhenUsed/>
    <w:rsid w:val="00391CCB"/>
    <w:pPr>
      <w:spacing w:after="100"/>
      <w:ind w:left="220"/>
    </w:pPr>
  </w:style>
  <w:style w:type="character" w:styleId="Hyperlink">
    <w:name w:val="Hyperlink"/>
    <w:basedOn w:val="DefaultParagraphFont"/>
    <w:uiPriority w:val="99"/>
    <w:unhideWhenUsed/>
    <w:rsid w:val="00391CCB"/>
    <w:rPr>
      <w:color w:val="0000FF" w:themeColor="hyperlink"/>
      <w:u w:val="single"/>
    </w:rPr>
  </w:style>
  <w:style w:type="paragraph" w:styleId="BalloonText">
    <w:name w:val="Balloon Text"/>
    <w:basedOn w:val="Normal"/>
    <w:link w:val="BalloonTextChar"/>
    <w:uiPriority w:val="99"/>
    <w:semiHidden/>
    <w:unhideWhenUsed/>
    <w:rsid w:val="0039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CB"/>
    <w:rPr>
      <w:rFonts w:ascii="Tahoma" w:hAnsi="Tahoma" w:cs="Tahoma"/>
      <w:sz w:val="16"/>
      <w:szCs w:val="16"/>
    </w:rPr>
  </w:style>
  <w:style w:type="character" w:customStyle="1" w:styleId="NoSpacingChar">
    <w:name w:val="No Spacing Char"/>
    <w:basedOn w:val="DefaultParagraphFont"/>
    <w:link w:val="NoSpacing"/>
    <w:uiPriority w:val="1"/>
    <w:rsid w:val="00391CCB"/>
  </w:style>
  <w:style w:type="character" w:customStyle="1" w:styleId="Heading3Char">
    <w:name w:val="Heading 3 Char"/>
    <w:basedOn w:val="DefaultParagraphFont"/>
    <w:link w:val="Heading3"/>
    <w:uiPriority w:val="9"/>
    <w:rsid w:val="0073469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3E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356">
      <w:bodyDiv w:val="1"/>
      <w:marLeft w:val="0"/>
      <w:marRight w:val="0"/>
      <w:marTop w:val="0"/>
      <w:marBottom w:val="0"/>
      <w:divBdr>
        <w:top w:val="none" w:sz="0" w:space="0" w:color="auto"/>
        <w:left w:val="none" w:sz="0" w:space="0" w:color="auto"/>
        <w:bottom w:val="none" w:sz="0" w:space="0" w:color="auto"/>
        <w:right w:val="none" w:sz="0" w:space="0" w:color="auto"/>
      </w:divBdr>
    </w:div>
    <w:div w:id="73555472">
      <w:bodyDiv w:val="1"/>
      <w:marLeft w:val="0"/>
      <w:marRight w:val="0"/>
      <w:marTop w:val="0"/>
      <w:marBottom w:val="0"/>
      <w:divBdr>
        <w:top w:val="none" w:sz="0" w:space="0" w:color="auto"/>
        <w:left w:val="none" w:sz="0" w:space="0" w:color="auto"/>
        <w:bottom w:val="none" w:sz="0" w:space="0" w:color="auto"/>
        <w:right w:val="none" w:sz="0" w:space="0" w:color="auto"/>
      </w:divBdr>
    </w:div>
    <w:div w:id="99227092">
      <w:bodyDiv w:val="1"/>
      <w:marLeft w:val="0"/>
      <w:marRight w:val="0"/>
      <w:marTop w:val="0"/>
      <w:marBottom w:val="0"/>
      <w:divBdr>
        <w:top w:val="none" w:sz="0" w:space="0" w:color="auto"/>
        <w:left w:val="none" w:sz="0" w:space="0" w:color="auto"/>
        <w:bottom w:val="none" w:sz="0" w:space="0" w:color="auto"/>
        <w:right w:val="none" w:sz="0" w:space="0" w:color="auto"/>
      </w:divBdr>
    </w:div>
    <w:div w:id="138113189">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
    <w:div w:id="197352306">
      <w:bodyDiv w:val="1"/>
      <w:marLeft w:val="0"/>
      <w:marRight w:val="0"/>
      <w:marTop w:val="0"/>
      <w:marBottom w:val="0"/>
      <w:divBdr>
        <w:top w:val="none" w:sz="0" w:space="0" w:color="auto"/>
        <w:left w:val="none" w:sz="0" w:space="0" w:color="auto"/>
        <w:bottom w:val="none" w:sz="0" w:space="0" w:color="auto"/>
        <w:right w:val="none" w:sz="0" w:space="0" w:color="auto"/>
      </w:divBdr>
    </w:div>
    <w:div w:id="256404712">
      <w:bodyDiv w:val="1"/>
      <w:marLeft w:val="0"/>
      <w:marRight w:val="0"/>
      <w:marTop w:val="0"/>
      <w:marBottom w:val="0"/>
      <w:divBdr>
        <w:top w:val="none" w:sz="0" w:space="0" w:color="auto"/>
        <w:left w:val="none" w:sz="0" w:space="0" w:color="auto"/>
        <w:bottom w:val="none" w:sz="0" w:space="0" w:color="auto"/>
        <w:right w:val="none" w:sz="0" w:space="0" w:color="auto"/>
      </w:divBdr>
    </w:div>
    <w:div w:id="261956312">
      <w:bodyDiv w:val="1"/>
      <w:marLeft w:val="0"/>
      <w:marRight w:val="0"/>
      <w:marTop w:val="0"/>
      <w:marBottom w:val="0"/>
      <w:divBdr>
        <w:top w:val="none" w:sz="0" w:space="0" w:color="auto"/>
        <w:left w:val="none" w:sz="0" w:space="0" w:color="auto"/>
        <w:bottom w:val="none" w:sz="0" w:space="0" w:color="auto"/>
        <w:right w:val="none" w:sz="0" w:space="0" w:color="auto"/>
      </w:divBdr>
    </w:div>
    <w:div w:id="397947110">
      <w:bodyDiv w:val="1"/>
      <w:marLeft w:val="0"/>
      <w:marRight w:val="0"/>
      <w:marTop w:val="0"/>
      <w:marBottom w:val="0"/>
      <w:divBdr>
        <w:top w:val="none" w:sz="0" w:space="0" w:color="auto"/>
        <w:left w:val="none" w:sz="0" w:space="0" w:color="auto"/>
        <w:bottom w:val="none" w:sz="0" w:space="0" w:color="auto"/>
        <w:right w:val="none" w:sz="0" w:space="0" w:color="auto"/>
      </w:divBdr>
    </w:div>
    <w:div w:id="422921306">
      <w:bodyDiv w:val="1"/>
      <w:marLeft w:val="0"/>
      <w:marRight w:val="0"/>
      <w:marTop w:val="0"/>
      <w:marBottom w:val="0"/>
      <w:divBdr>
        <w:top w:val="none" w:sz="0" w:space="0" w:color="auto"/>
        <w:left w:val="none" w:sz="0" w:space="0" w:color="auto"/>
        <w:bottom w:val="none" w:sz="0" w:space="0" w:color="auto"/>
        <w:right w:val="none" w:sz="0" w:space="0" w:color="auto"/>
      </w:divBdr>
    </w:div>
    <w:div w:id="483543490">
      <w:bodyDiv w:val="1"/>
      <w:marLeft w:val="0"/>
      <w:marRight w:val="0"/>
      <w:marTop w:val="0"/>
      <w:marBottom w:val="0"/>
      <w:divBdr>
        <w:top w:val="none" w:sz="0" w:space="0" w:color="auto"/>
        <w:left w:val="none" w:sz="0" w:space="0" w:color="auto"/>
        <w:bottom w:val="none" w:sz="0" w:space="0" w:color="auto"/>
        <w:right w:val="none" w:sz="0" w:space="0" w:color="auto"/>
      </w:divBdr>
    </w:div>
    <w:div w:id="496269139">
      <w:bodyDiv w:val="1"/>
      <w:marLeft w:val="0"/>
      <w:marRight w:val="0"/>
      <w:marTop w:val="0"/>
      <w:marBottom w:val="0"/>
      <w:divBdr>
        <w:top w:val="none" w:sz="0" w:space="0" w:color="auto"/>
        <w:left w:val="none" w:sz="0" w:space="0" w:color="auto"/>
        <w:bottom w:val="none" w:sz="0" w:space="0" w:color="auto"/>
        <w:right w:val="none" w:sz="0" w:space="0" w:color="auto"/>
      </w:divBdr>
    </w:div>
    <w:div w:id="508564020">
      <w:bodyDiv w:val="1"/>
      <w:marLeft w:val="0"/>
      <w:marRight w:val="0"/>
      <w:marTop w:val="0"/>
      <w:marBottom w:val="0"/>
      <w:divBdr>
        <w:top w:val="none" w:sz="0" w:space="0" w:color="auto"/>
        <w:left w:val="none" w:sz="0" w:space="0" w:color="auto"/>
        <w:bottom w:val="none" w:sz="0" w:space="0" w:color="auto"/>
        <w:right w:val="none" w:sz="0" w:space="0" w:color="auto"/>
      </w:divBdr>
    </w:div>
    <w:div w:id="589699318">
      <w:bodyDiv w:val="1"/>
      <w:marLeft w:val="0"/>
      <w:marRight w:val="0"/>
      <w:marTop w:val="0"/>
      <w:marBottom w:val="0"/>
      <w:divBdr>
        <w:top w:val="none" w:sz="0" w:space="0" w:color="auto"/>
        <w:left w:val="none" w:sz="0" w:space="0" w:color="auto"/>
        <w:bottom w:val="none" w:sz="0" w:space="0" w:color="auto"/>
        <w:right w:val="none" w:sz="0" w:space="0" w:color="auto"/>
      </w:divBdr>
    </w:div>
    <w:div w:id="607934920">
      <w:bodyDiv w:val="1"/>
      <w:marLeft w:val="0"/>
      <w:marRight w:val="0"/>
      <w:marTop w:val="0"/>
      <w:marBottom w:val="0"/>
      <w:divBdr>
        <w:top w:val="none" w:sz="0" w:space="0" w:color="auto"/>
        <w:left w:val="none" w:sz="0" w:space="0" w:color="auto"/>
        <w:bottom w:val="none" w:sz="0" w:space="0" w:color="auto"/>
        <w:right w:val="none" w:sz="0" w:space="0" w:color="auto"/>
      </w:divBdr>
    </w:div>
    <w:div w:id="662860460">
      <w:bodyDiv w:val="1"/>
      <w:marLeft w:val="0"/>
      <w:marRight w:val="0"/>
      <w:marTop w:val="0"/>
      <w:marBottom w:val="0"/>
      <w:divBdr>
        <w:top w:val="none" w:sz="0" w:space="0" w:color="auto"/>
        <w:left w:val="none" w:sz="0" w:space="0" w:color="auto"/>
        <w:bottom w:val="none" w:sz="0" w:space="0" w:color="auto"/>
        <w:right w:val="none" w:sz="0" w:space="0" w:color="auto"/>
      </w:divBdr>
    </w:div>
    <w:div w:id="722867174">
      <w:bodyDiv w:val="1"/>
      <w:marLeft w:val="0"/>
      <w:marRight w:val="0"/>
      <w:marTop w:val="0"/>
      <w:marBottom w:val="0"/>
      <w:divBdr>
        <w:top w:val="none" w:sz="0" w:space="0" w:color="auto"/>
        <w:left w:val="none" w:sz="0" w:space="0" w:color="auto"/>
        <w:bottom w:val="none" w:sz="0" w:space="0" w:color="auto"/>
        <w:right w:val="none" w:sz="0" w:space="0" w:color="auto"/>
      </w:divBdr>
    </w:div>
    <w:div w:id="724528113">
      <w:bodyDiv w:val="1"/>
      <w:marLeft w:val="0"/>
      <w:marRight w:val="0"/>
      <w:marTop w:val="0"/>
      <w:marBottom w:val="0"/>
      <w:divBdr>
        <w:top w:val="none" w:sz="0" w:space="0" w:color="auto"/>
        <w:left w:val="none" w:sz="0" w:space="0" w:color="auto"/>
        <w:bottom w:val="none" w:sz="0" w:space="0" w:color="auto"/>
        <w:right w:val="none" w:sz="0" w:space="0" w:color="auto"/>
      </w:divBdr>
    </w:div>
    <w:div w:id="761226352">
      <w:bodyDiv w:val="1"/>
      <w:marLeft w:val="0"/>
      <w:marRight w:val="0"/>
      <w:marTop w:val="0"/>
      <w:marBottom w:val="0"/>
      <w:divBdr>
        <w:top w:val="none" w:sz="0" w:space="0" w:color="auto"/>
        <w:left w:val="none" w:sz="0" w:space="0" w:color="auto"/>
        <w:bottom w:val="none" w:sz="0" w:space="0" w:color="auto"/>
        <w:right w:val="none" w:sz="0" w:space="0" w:color="auto"/>
      </w:divBdr>
    </w:div>
    <w:div w:id="764110382">
      <w:bodyDiv w:val="1"/>
      <w:marLeft w:val="0"/>
      <w:marRight w:val="0"/>
      <w:marTop w:val="0"/>
      <w:marBottom w:val="0"/>
      <w:divBdr>
        <w:top w:val="none" w:sz="0" w:space="0" w:color="auto"/>
        <w:left w:val="none" w:sz="0" w:space="0" w:color="auto"/>
        <w:bottom w:val="none" w:sz="0" w:space="0" w:color="auto"/>
        <w:right w:val="none" w:sz="0" w:space="0" w:color="auto"/>
      </w:divBdr>
    </w:div>
    <w:div w:id="786507712">
      <w:bodyDiv w:val="1"/>
      <w:marLeft w:val="0"/>
      <w:marRight w:val="0"/>
      <w:marTop w:val="0"/>
      <w:marBottom w:val="0"/>
      <w:divBdr>
        <w:top w:val="none" w:sz="0" w:space="0" w:color="auto"/>
        <w:left w:val="none" w:sz="0" w:space="0" w:color="auto"/>
        <w:bottom w:val="none" w:sz="0" w:space="0" w:color="auto"/>
        <w:right w:val="none" w:sz="0" w:space="0" w:color="auto"/>
      </w:divBdr>
    </w:div>
    <w:div w:id="788818002">
      <w:bodyDiv w:val="1"/>
      <w:marLeft w:val="0"/>
      <w:marRight w:val="0"/>
      <w:marTop w:val="0"/>
      <w:marBottom w:val="0"/>
      <w:divBdr>
        <w:top w:val="none" w:sz="0" w:space="0" w:color="auto"/>
        <w:left w:val="none" w:sz="0" w:space="0" w:color="auto"/>
        <w:bottom w:val="none" w:sz="0" w:space="0" w:color="auto"/>
        <w:right w:val="none" w:sz="0" w:space="0" w:color="auto"/>
      </w:divBdr>
    </w:div>
    <w:div w:id="798112080">
      <w:bodyDiv w:val="1"/>
      <w:marLeft w:val="0"/>
      <w:marRight w:val="0"/>
      <w:marTop w:val="0"/>
      <w:marBottom w:val="0"/>
      <w:divBdr>
        <w:top w:val="none" w:sz="0" w:space="0" w:color="auto"/>
        <w:left w:val="none" w:sz="0" w:space="0" w:color="auto"/>
        <w:bottom w:val="none" w:sz="0" w:space="0" w:color="auto"/>
        <w:right w:val="none" w:sz="0" w:space="0" w:color="auto"/>
      </w:divBdr>
    </w:div>
    <w:div w:id="847059099">
      <w:bodyDiv w:val="1"/>
      <w:marLeft w:val="0"/>
      <w:marRight w:val="0"/>
      <w:marTop w:val="0"/>
      <w:marBottom w:val="0"/>
      <w:divBdr>
        <w:top w:val="none" w:sz="0" w:space="0" w:color="auto"/>
        <w:left w:val="none" w:sz="0" w:space="0" w:color="auto"/>
        <w:bottom w:val="none" w:sz="0" w:space="0" w:color="auto"/>
        <w:right w:val="none" w:sz="0" w:space="0" w:color="auto"/>
      </w:divBdr>
    </w:div>
    <w:div w:id="855769992">
      <w:bodyDiv w:val="1"/>
      <w:marLeft w:val="0"/>
      <w:marRight w:val="0"/>
      <w:marTop w:val="0"/>
      <w:marBottom w:val="0"/>
      <w:divBdr>
        <w:top w:val="none" w:sz="0" w:space="0" w:color="auto"/>
        <w:left w:val="none" w:sz="0" w:space="0" w:color="auto"/>
        <w:bottom w:val="none" w:sz="0" w:space="0" w:color="auto"/>
        <w:right w:val="none" w:sz="0" w:space="0" w:color="auto"/>
      </w:divBdr>
    </w:div>
    <w:div w:id="900409567">
      <w:bodyDiv w:val="1"/>
      <w:marLeft w:val="0"/>
      <w:marRight w:val="0"/>
      <w:marTop w:val="0"/>
      <w:marBottom w:val="0"/>
      <w:divBdr>
        <w:top w:val="none" w:sz="0" w:space="0" w:color="auto"/>
        <w:left w:val="none" w:sz="0" w:space="0" w:color="auto"/>
        <w:bottom w:val="none" w:sz="0" w:space="0" w:color="auto"/>
        <w:right w:val="none" w:sz="0" w:space="0" w:color="auto"/>
      </w:divBdr>
    </w:div>
    <w:div w:id="947810929">
      <w:bodyDiv w:val="1"/>
      <w:marLeft w:val="0"/>
      <w:marRight w:val="0"/>
      <w:marTop w:val="0"/>
      <w:marBottom w:val="0"/>
      <w:divBdr>
        <w:top w:val="none" w:sz="0" w:space="0" w:color="auto"/>
        <w:left w:val="none" w:sz="0" w:space="0" w:color="auto"/>
        <w:bottom w:val="none" w:sz="0" w:space="0" w:color="auto"/>
        <w:right w:val="none" w:sz="0" w:space="0" w:color="auto"/>
      </w:divBdr>
    </w:div>
    <w:div w:id="953946366">
      <w:bodyDiv w:val="1"/>
      <w:marLeft w:val="0"/>
      <w:marRight w:val="0"/>
      <w:marTop w:val="0"/>
      <w:marBottom w:val="0"/>
      <w:divBdr>
        <w:top w:val="none" w:sz="0" w:space="0" w:color="auto"/>
        <w:left w:val="none" w:sz="0" w:space="0" w:color="auto"/>
        <w:bottom w:val="none" w:sz="0" w:space="0" w:color="auto"/>
        <w:right w:val="none" w:sz="0" w:space="0" w:color="auto"/>
      </w:divBdr>
    </w:div>
    <w:div w:id="1005549545">
      <w:bodyDiv w:val="1"/>
      <w:marLeft w:val="0"/>
      <w:marRight w:val="0"/>
      <w:marTop w:val="0"/>
      <w:marBottom w:val="0"/>
      <w:divBdr>
        <w:top w:val="none" w:sz="0" w:space="0" w:color="auto"/>
        <w:left w:val="none" w:sz="0" w:space="0" w:color="auto"/>
        <w:bottom w:val="none" w:sz="0" w:space="0" w:color="auto"/>
        <w:right w:val="none" w:sz="0" w:space="0" w:color="auto"/>
      </w:divBdr>
    </w:div>
    <w:div w:id="1027756734">
      <w:bodyDiv w:val="1"/>
      <w:marLeft w:val="0"/>
      <w:marRight w:val="0"/>
      <w:marTop w:val="0"/>
      <w:marBottom w:val="0"/>
      <w:divBdr>
        <w:top w:val="none" w:sz="0" w:space="0" w:color="auto"/>
        <w:left w:val="none" w:sz="0" w:space="0" w:color="auto"/>
        <w:bottom w:val="none" w:sz="0" w:space="0" w:color="auto"/>
        <w:right w:val="none" w:sz="0" w:space="0" w:color="auto"/>
      </w:divBdr>
    </w:div>
    <w:div w:id="1049841805">
      <w:bodyDiv w:val="1"/>
      <w:marLeft w:val="0"/>
      <w:marRight w:val="0"/>
      <w:marTop w:val="0"/>
      <w:marBottom w:val="0"/>
      <w:divBdr>
        <w:top w:val="none" w:sz="0" w:space="0" w:color="auto"/>
        <w:left w:val="none" w:sz="0" w:space="0" w:color="auto"/>
        <w:bottom w:val="none" w:sz="0" w:space="0" w:color="auto"/>
        <w:right w:val="none" w:sz="0" w:space="0" w:color="auto"/>
      </w:divBdr>
    </w:div>
    <w:div w:id="1086224665">
      <w:bodyDiv w:val="1"/>
      <w:marLeft w:val="0"/>
      <w:marRight w:val="0"/>
      <w:marTop w:val="0"/>
      <w:marBottom w:val="0"/>
      <w:divBdr>
        <w:top w:val="none" w:sz="0" w:space="0" w:color="auto"/>
        <w:left w:val="none" w:sz="0" w:space="0" w:color="auto"/>
        <w:bottom w:val="none" w:sz="0" w:space="0" w:color="auto"/>
        <w:right w:val="none" w:sz="0" w:space="0" w:color="auto"/>
      </w:divBdr>
    </w:div>
    <w:div w:id="1122647961">
      <w:bodyDiv w:val="1"/>
      <w:marLeft w:val="0"/>
      <w:marRight w:val="0"/>
      <w:marTop w:val="0"/>
      <w:marBottom w:val="0"/>
      <w:divBdr>
        <w:top w:val="none" w:sz="0" w:space="0" w:color="auto"/>
        <w:left w:val="none" w:sz="0" w:space="0" w:color="auto"/>
        <w:bottom w:val="none" w:sz="0" w:space="0" w:color="auto"/>
        <w:right w:val="none" w:sz="0" w:space="0" w:color="auto"/>
      </w:divBdr>
    </w:div>
    <w:div w:id="1141314959">
      <w:bodyDiv w:val="1"/>
      <w:marLeft w:val="0"/>
      <w:marRight w:val="0"/>
      <w:marTop w:val="0"/>
      <w:marBottom w:val="0"/>
      <w:divBdr>
        <w:top w:val="none" w:sz="0" w:space="0" w:color="auto"/>
        <w:left w:val="none" w:sz="0" w:space="0" w:color="auto"/>
        <w:bottom w:val="none" w:sz="0" w:space="0" w:color="auto"/>
        <w:right w:val="none" w:sz="0" w:space="0" w:color="auto"/>
      </w:divBdr>
    </w:div>
    <w:div w:id="1142576923">
      <w:bodyDiv w:val="1"/>
      <w:marLeft w:val="0"/>
      <w:marRight w:val="0"/>
      <w:marTop w:val="0"/>
      <w:marBottom w:val="0"/>
      <w:divBdr>
        <w:top w:val="none" w:sz="0" w:space="0" w:color="auto"/>
        <w:left w:val="none" w:sz="0" w:space="0" w:color="auto"/>
        <w:bottom w:val="none" w:sz="0" w:space="0" w:color="auto"/>
        <w:right w:val="none" w:sz="0" w:space="0" w:color="auto"/>
      </w:divBdr>
    </w:div>
    <w:div w:id="1188328942">
      <w:bodyDiv w:val="1"/>
      <w:marLeft w:val="0"/>
      <w:marRight w:val="0"/>
      <w:marTop w:val="0"/>
      <w:marBottom w:val="0"/>
      <w:divBdr>
        <w:top w:val="none" w:sz="0" w:space="0" w:color="auto"/>
        <w:left w:val="none" w:sz="0" w:space="0" w:color="auto"/>
        <w:bottom w:val="none" w:sz="0" w:space="0" w:color="auto"/>
        <w:right w:val="none" w:sz="0" w:space="0" w:color="auto"/>
      </w:divBdr>
    </w:div>
    <w:div w:id="1280792703">
      <w:bodyDiv w:val="1"/>
      <w:marLeft w:val="0"/>
      <w:marRight w:val="0"/>
      <w:marTop w:val="0"/>
      <w:marBottom w:val="0"/>
      <w:divBdr>
        <w:top w:val="none" w:sz="0" w:space="0" w:color="auto"/>
        <w:left w:val="none" w:sz="0" w:space="0" w:color="auto"/>
        <w:bottom w:val="none" w:sz="0" w:space="0" w:color="auto"/>
        <w:right w:val="none" w:sz="0" w:space="0" w:color="auto"/>
      </w:divBdr>
    </w:div>
    <w:div w:id="1299604985">
      <w:bodyDiv w:val="1"/>
      <w:marLeft w:val="0"/>
      <w:marRight w:val="0"/>
      <w:marTop w:val="0"/>
      <w:marBottom w:val="0"/>
      <w:divBdr>
        <w:top w:val="none" w:sz="0" w:space="0" w:color="auto"/>
        <w:left w:val="none" w:sz="0" w:space="0" w:color="auto"/>
        <w:bottom w:val="none" w:sz="0" w:space="0" w:color="auto"/>
        <w:right w:val="none" w:sz="0" w:space="0" w:color="auto"/>
      </w:divBdr>
    </w:div>
    <w:div w:id="1334450102">
      <w:bodyDiv w:val="1"/>
      <w:marLeft w:val="0"/>
      <w:marRight w:val="0"/>
      <w:marTop w:val="0"/>
      <w:marBottom w:val="0"/>
      <w:divBdr>
        <w:top w:val="none" w:sz="0" w:space="0" w:color="auto"/>
        <w:left w:val="none" w:sz="0" w:space="0" w:color="auto"/>
        <w:bottom w:val="none" w:sz="0" w:space="0" w:color="auto"/>
        <w:right w:val="none" w:sz="0" w:space="0" w:color="auto"/>
      </w:divBdr>
    </w:div>
    <w:div w:id="1345282963">
      <w:bodyDiv w:val="1"/>
      <w:marLeft w:val="0"/>
      <w:marRight w:val="0"/>
      <w:marTop w:val="0"/>
      <w:marBottom w:val="0"/>
      <w:divBdr>
        <w:top w:val="none" w:sz="0" w:space="0" w:color="auto"/>
        <w:left w:val="none" w:sz="0" w:space="0" w:color="auto"/>
        <w:bottom w:val="none" w:sz="0" w:space="0" w:color="auto"/>
        <w:right w:val="none" w:sz="0" w:space="0" w:color="auto"/>
      </w:divBdr>
    </w:div>
    <w:div w:id="1409961342">
      <w:bodyDiv w:val="1"/>
      <w:marLeft w:val="0"/>
      <w:marRight w:val="0"/>
      <w:marTop w:val="0"/>
      <w:marBottom w:val="0"/>
      <w:divBdr>
        <w:top w:val="none" w:sz="0" w:space="0" w:color="auto"/>
        <w:left w:val="none" w:sz="0" w:space="0" w:color="auto"/>
        <w:bottom w:val="none" w:sz="0" w:space="0" w:color="auto"/>
        <w:right w:val="none" w:sz="0" w:space="0" w:color="auto"/>
      </w:divBdr>
    </w:div>
    <w:div w:id="1440299433">
      <w:bodyDiv w:val="1"/>
      <w:marLeft w:val="0"/>
      <w:marRight w:val="0"/>
      <w:marTop w:val="0"/>
      <w:marBottom w:val="0"/>
      <w:divBdr>
        <w:top w:val="none" w:sz="0" w:space="0" w:color="auto"/>
        <w:left w:val="none" w:sz="0" w:space="0" w:color="auto"/>
        <w:bottom w:val="none" w:sz="0" w:space="0" w:color="auto"/>
        <w:right w:val="none" w:sz="0" w:space="0" w:color="auto"/>
      </w:divBdr>
    </w:div>
    <w:div w:id="1493793342">
      <w:bodyDiv w:val="1"/>
      <w:marLeft w:val="0"/>
      <w:marRight w:val="0"/>
      <w:marTop w:val="0"/>
      <w:marBottom w:val="0"/>
      <w:divBdr>
        <w:top w:val="none" w:sz="0" w:space="0" w:color="auto"/>
        <w:left w:val="none" w:sz="0" w:space="0" w:color="auto"/>
        <w:bottom w:val="none" w:sz="0" w:space="0" w:color="auto"/>
        <w:right w:val="none" w:sz="0" w:space="0" w:color="auto"/>
      </w:divBdr>
    </w:div>
    <w:div w:id="1561867687">
      <w:bodyDiv w:val="1"/>
      <w:marLeft w:val="0"/>
      <w:marRight w:val="0"/>
      <w:marTop w:val="0"/>
      <w:marBottom w:val="0"/>
      <w:divBdr>
        <w:top w:val="none" w:sz="0" w:space="0" w:color="auto"/>
        <w:left w:val="none" w:sz="0" w:space="0" w:color="auto"/>
        <w:bottom w:val="none" w:sz="0" w:space="0" w:color="auto"/>
        <w:right w:val="none" w:sz="0" w:space="0" w:color="auto"/>
      </w:divBdr>
    </w:div>
    <w:div w:id="1648972875">
      <w:bodyDiv w:val="1"/>
      <w:marLeft w:val="0"/>
      <w:marRight w:val="0"/>
      <w:marTop w:val="0"/>
      <w:marBottom w:val="0"/>
      <w:divBdr>
        <w:top w:val="none" w:sz="0" w:space="0" w:color="auto"/>
        <w:left w:val="none" w:sz="0" w:space="0" w:color="auto"/>
        <w:bottom w:val="none" w:sz="0" w:space="0" w:color="auto"/>
        <w:right w:val="none" w:sz="0" w:space="0" w:color="auto"/>
      </w:divBdr>
    </w:div>
    <w:div w:id="1704793085">
      <w:bodyDiv w:val="1"/>
      <w:marLeft w:val="0"/>
      <w:marRight w:val="0"/>
      <w:marTop w:val="0"/>
      <w:marBottom w:val="0"/>
      <w:divBdr>
        <w:top w:val="none" w:sz="0" w:space="0" w:color="auto"/>
        <w:left w:val="none" w:sz="0" w:space="0" w:color="auto"/>
        <w:bottom w:val="none" w:sz="0" w:space="0" w:color="auto"/>
        <w:right w:val="none" w:sz="0" w:space="0" w:color="auto"/>
      </w:divBdr>
    </w:div>
    <w:div w:id="1722286471">
      <w:bodyDiv w:val="1"/>
      <w:marLeft w:val="0"/>
      <w:marRight w:val="0"/>
      <w:marTop w:val="0"/>
      <w:marBottom w:val="0"/>
      <w:divBdr>
        <w:top w:val="none" w:sz="0" w:space="0" w:color="auto"/>
        <w:left w:val="none" w:sz="0" w:space="0" w:color="auto"/>
        <w:bottom w:val="none" w:sz="0" w:space="0" w:color="auto"/>
        <w:right w:val="none" w:sz="0" w:space="0" w:color="auto"/>
      </w:divBdr>
    </w:div>
    <w:div w:id="1803646108">
      <w:bodyDiv w:val="1"/>
      <w:marLeft w:val="0"/>
      <w:marRight w:val="0"/>
      <w:marTop w:val="0"/>
      <w:marBottom w:val="0"/>
      <w:divBdr>
        <w:top w:val="none" w:sz="0" w:space="0" w:color="auto"/>
        <w:left w:val="none" w:sz="0" w:space="0" w:color="auto"/>
        <w:bottom w:val="none" w:sz="0" w:space="0" w:color="auto"/>
        <w:right w:val="none" w:sz="0" w:space="0" w:color="auto"/>
      </w:divBdr>
    </w:div>
    <w:div w:id="1811096783">
      <w:bodyDiv w:val="1"/>
      <w:marLeft w:val="0"/>
      <w:marRight w:val="0"/>
      <w:marTop w:val="0"/>
      <w:marBottom w:val="0"/>
      <w:divBdr>
        <w:top w:val="none" w:sz="0" w:space="0" w:color="auto"/>
        <w:left w:val="none" w:sz="0" w:space="0" w:color="auto"/>
        <w:bottom w:val="none" w:sz="0" w:space="0" w:color="auto"/>
        <w:right w:val="none" w:sz="0" w:space="0" w:color="auto"/>
      </w:divBdr>
    </w:div>
    <w:div w:id="1862009835">
      <w:bodyDiv w:val="1"/>
      <w:marLeft w:val="0"/>
      <w:marRight w:val="0"/>
      <w:marTop w:val="0"/>
      <w:marBottom w:val="0"/>
      <w:divBdr>
        <w:top w:val="none" w:sz="0" w:space="0" w:color="auto"/>
        <w:left w:val="none" w:sz="0" w:space="0" w:color="auto"/>
        <w:bottom w:val="none" w:sz="0" w:space="0" w:color="auto"/>
        <w:right w:val="none" w:sz="0" w:space="0" w:color="auto"/>
      </w:divBdr>
    </w:div>
    <w:div w:id="1870096433">
      <w:bodyDiv w:val="1"/>
      <w:marLeft w:val="0"/>
      <w:marRight w:val="0"/>
      <w:marTop w:val="0"/>
      <w:marBottom w:val="0"/>
      <w:divBdr>
        <w:top w:val="none" w:sz="0" w:space="0" w:color="auto"/>
        <w:left w:val="none" w:sz="0" w:space="0" w:color="auto"/>
        <w:bottom w:val="none" w:sz="0" w:space="0" w:color="auto"/>
        <w:right w:val="none" w:sz="0" w:space="0" w:color="auto"/>
      </w:divBdr>
    </w:div>
    <w:div w:id="1877699009">
      <w:bodyDiv w:val="1"/>
      <w:marLeft w:val="0"/>
      <w:marRight w:val="0"/>
      <w:marTop w:val="0"/>
      <w:marBottom w:val="0"/>
      <w:divBdr>
        <w:top w:val="none" w:sz="0" w:space="0" w:color="auto"/>
        <w:left w:val="none" w:sz="0" w:space="0" w:color="auto"/>
        <w:bottom w:val="none" w:sz="0" w:space="0" w:color="auto"/>
        <w:right w:val="none" w:sz="0" w:space="0" w:color="auto"/>
      </w:divBdr>
    </w:div>
    <w:div w:id="1930654881">
      <w:bodyDiv w:val="1"/>
      <w:marLeft w:val="0"/>
      <w:marRight w:val="0"/>
      <w:marTop w:val="0"/>
      <w:marBottom w:val="0"/>
      <w:divBdr>
        <w:top w:val="none" w:sz="0" w:space="0" w:color="auto"/>
        <w:left w:val="none" w:sz="0" w:space="0" w:color="auto"/>
        <w:bottom w:val="none" w:sz="0" w:space="0" w:color="auto"/>
        <w:right w:val="none" w:sz="0" w:space="0" w:color="auto"/>
      </w:divBdr>
    </w:div>
    <w:div w:id="1941987462">
      <w:bodyDiv w:val="1"/>
      <w:marLeft w:val="0"/>
      <w:marRight w:val="0"/>
      <w:marTop w:val="0"/>
      <w:marBottom w:val="0"/>
      <w:divBdr>
        <w:top w:val="none" w:sz="0" w:space="0" w:color="auto"/>
        <w:left w:val="none" w:sz="0" w:space="0" w:color="auto"/>
        <w:bottom w:val="none" w:sz="0" w:space="0" w:color="auto"/>
        <w:right w:val="none" w:sz="0" w:space="0" w:color="auto"/>
      </w:divBdr>
    </w:div>
    <w:div w:id="1973096261">
      <w:bodyDiv w:val="1"/>
      <w:marLeft w:val="0"/>
      <w:marRight w:val="0"/>
      <w:marTop w:val="0"/>
      <w:marBottom w:val="0"/>
      <w:divBdr>
        <w:top w:val="none" w:sz="0" w:space="0" w:color="auto"/>
        <w:left w:val="none" w:sz="0" w:space="0" w:color="auto"/>
        <w:bottom w:val="none" w:sz="0" w:space="0" w:color="auto"/>
        <w:right w:val="none" w:sz="0" w:space="0" w:color="auto"/>
      </w:divBdr>
    </w:div>
    <w:div w:id="1974217697">
      <w:bodyDiv w:val="1"/>
      <w:marLeft w:val="0"/>
      <w:marRight w:val="0"/>
      <w:marTop w:val="0"/>
      <w:marBottom w:val="0"/>
      <w:divBdr>
        <w:top w:val="none" w:sz="0" w:space="0" w:color="auto"/>
        <w:left w:val="none" w:sz="0" w:space="0" w:color="auto"/>
        <w:bottom w:val="none" w:sz="0" w:space="0" w:color="auto"/>
        <w:right w:val="none" w:sz="0" w:space="0" w:color="auto"/>
      </w:divBdr>
    </w:div>
    <w:div w:id="1989895697">
      <w:bodyDiv w:val="1"/>
      <w:marLeft w:val="0"/>
      <w:marRight w:val="0"/>
      <w:marTop w:val="0"/>
      <w:marBottom w:val="0"/>
      <w:divBdr>
        <w:top w:val="none" w:sz="0" w:space="0" w:color="auto"/>
        <w:left w:val="none" w:sz="0" w:space="0" w:color="auto"/>
        <w:bottom w:val="none" w:sz="0" w:space="0" w:color="auto"/>
        <w:right w:val="none" w:sz="0" w:space="0" w:color="auto"/>
      </w:divBdr>
    </w:div>
    <w:div w:id="2029746296">
      <w:bodyDiv w:val="1"/>
      <w:marLeft w:val="0"/>
      <w:marRight w:val="0"/>
      <w:marTop w:val="0"/>
      <w:marBottom w:val="0"/>
      <w:divBdr>
        <w:top w:val="none" w:sz="0" w:space="0" w:color="auto"/>
        <w:left w:val="none" w:sz="0" w:space="0" w:color="auto"/>
        <w:bottom w:val="none" w:sz="0" w:space="0" w:color="auto"/>
        <w:right w:val="none" w:sz="0" w:space="0" w:color="auto"/>
      </w:divBdr>
    </w:div>
    <w:div w:id="2084987472">
      <w:bodyDiv w:val="1"/>
      <w:marLeft w:val="0"/>
      <w:marRight w:val="0"/>
      <w:marTop w:val="0"/>
      <w:marBottom w:val="0"/>
      <w:divBdr>
        <w:top w:val="none" w:sz="0" w:space="0" w:color="auto"/>
        <w:left w:val="none" w:sz="0" w:space="0" w:color="auto"/>
        <w:bottom w:val="none" w:sz="0" w:space="0" w:color="auto"/>
        <w:right w:val="none" w:sz="0" w:space="0" w:color="auto"/>
      </w:divBdr>
    </w:div>
    <w:div w:id="2100521351">
      <w:bodyDiv w:val="1"/>
      <w:marLeft w:val="0"/>
      <w:marRight w:val="0"/>
      <w:marTop w:val="0"/>
      <w:marBottom w:val="0"/>
      <w:divBdr>
        <w:top w:val="none" w:sz="0" w:space="0" w:color="auto"/>
        <w:left w:val="none" w:sz="0" w:space="0" w:color="auto"/>
        <w:bottom w:val="none" w:sz="0" w:space="0" w:color="auto"/>
        <w:right w:val="none" w:sz="0" w:space="0" w:color="auto"/>
      </w:divBdr>
    </w:div>
    <w:div w:id="21211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F319-1A0C-486E-A1B7-2908FE77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MCRG Outline Financial Sustainability Plans and Funding Strategy</vt:lpstr>
    </vt:vector>
  </TitlesOfParts>
  <Company>Microsoft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MCRG Outline Financial Sustainability Plans and Funding Strategy</dc:title>
  <dc:creator>Fraser Millar</dc:creator>
  <cp:lastModifiedBy>Fraser Millar</cp:lastModifiedBy>
  <cp:revision>3</cp:revision>
  <dcterms:created xsi:type="dcterms:W3CDTF">2017-09-18T09:27:00Z</dcterms:created>
  <dcterms:modified xsi:type="dcterms:W3CDTF">2017-09-22T08:48:00Z</dcterms:modified>
</cp:coreProperties>
</file>